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/>
    <w:p w14:paraId="5BCBF55C" w14:textId="58916B80" w:rsidR="00ED640B" w:rsidRDefault="00000000" w:rsidP="00FA4AF7">
      <w:pPr>
        <w:pStyle w:val="Heading1"/>
        <w:spacing w:after="0"/>
        <w:rPr>
          <w:rFonts w:ascii="Verdana" w:eastAsia="Verdana" w:hAnsi="Verdana" w:cs="Verdana"/>
          <w:sz w:val="36"/>
          <w:szCs w:val="36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36"/>
          <w:szCs w:val="36"/>
        </w:rPr>
        <w:t xml:space="preserve">Assessment for Children who are Deaf-Blind: Selected </w:t>
      </w:r>
      <w:r w:rsidR="004D53F3">
        <w:rPr>
          <w:rFonts w:ascii="Verdana" w:eastAsia="Verdana" w:hAnsi="Verdana" w:cs="Verdana"/>
          <w:sz w:val="36"/>
          <w:szCs w:val="36"/>
        </w:rPr>
        <w:t xml:space="preserve">Research and </w:t>
      </w:r>
      <w:r>
        <w:rPr>
          <w:rFonts w:ascii="Verdana" w:eastAsia="Verdana" w:hAnsi="Verdana" w:cs="Verdana"/>
          <w:sz w:val="36"/>
          <w:szCs w:val="36"/>
        </w:rPr>
        <w:t xml:space="preserve">Professional Literature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417D53" wp14:editId="3271D948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l="0" t="0" r="0" b="0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089" y="3780000"/>
                          <a:ext cx="6233823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b="0" l="0" r="0" t="0"/>
                <wp:wrapNone/>
                <wp:docPr descr="Decorative" id="1" name="image1.png"/>
                <a:graphic>
                  <a:graphicData uri="http://schemas.openxmlformats.org/drawingml/2006/picture">
                    <pic:pic>
                      <pic:nvPicPr>
                        <pic:cNvPr descr="Decorative"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823" cy="190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0A622" w14:textId="77777777" w:rsidR="00ED640B" w:rsidRDefault="00ED640B"/>
    <w:p w14:paraId="5A424CC7" w14:textId="088B0EEB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Ask Larsen, F., &amp; Damen, S., H. (Eds.).  (2014). </w:t>
      </w:r>
      <w:hyperlink r:id="rId7">
        <w:r>
          <w:rPr>
            <w:rFonts w:ascii="Verdana" w:eastAsia="Verdana" w:hAnsi="Verdana" w:cs="Verdana"/>
            <w:i/>
            <w:color w:val="1155CC"/>
            <w:sz w:val="22"/>
            <w:szCs w:val="22"/>
            <w:u w:val="single"/>
          </w:rPr>
          <w:t xml:space="preserve">Guidelines for assessment of cognition in relation to congenital </w:t>
        </w:r>
        <w:proofErr w:type="spellStart"/>
        <w:r>
          <w:rPr>
            <w:rFonts w:ascii="Verdana" w:eastAsia="Verdana" w:hAnsi="Verdana" w:cs="Verdana"/>
            <w:i/>
            <w:color w:val="1155CC"/>
            <w:sz w:val="22"/>
            <w:szCs w:val="22"/>
            <w:u w:val="single"/>
          </w:rPr>
          <w:t>deafblindness</w:t>
        </w:r>
        <w:proofErr w:type="spellEnd"/>
      </w:hyperlink>
      <w:r>
        <w:rPr>
          <w:rFonts w:ascii="Verdana" w:eastAsia="Verdana" w:hAnsi="Verdana" w:cs="Verdana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sz w:val="22"/>
          <w:szCs w:val="22"/>
        </w:rPr>
        <w:t>Dronninglund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: Nordic Council of Ministers, Nordic Centre for Welfare and Social Issues. </w:t>
      </w:r>
    </w:p>
    <w:p w14:paraId="3C8853BF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Bruce, Susan M. (2010). Introduction to the holistic communication profile integrating pivotal social and cognitive milestones in communication programming. </w:t>
      </w:r>
      <w:r>
        <w:rPr>
          <w:rFonts w:ascii="Verdana" w:eastAsia="Verdana" w:hAnsi="Verdana" w:cs="Verdana"/>
          <w:i/>
          <w:sz w:val="22"/>
          <w:szCs w:val="22"/>
        </w:rPr>
        <w:t>AER Journal: Research &amp; Practice in Visual Impairment &amp; Blindness, 3</w:t>
      </w:r>
      <w:r>
        <w:rPr>
          <w:rFonts w:ascii="Verdana" w:eastAsia="Verdana" w:hAnsi="Verdana" w:cs="Verdana"/>
          <w:sz w:val="22"/>
          <w:szCs w:val="22"/>
        </w:rPr>
        <w:t xml:space="preserve">, 106-113.  </w:t>
      </w:r>
    </w:p>
    <w:p w14:paraId="55019DFA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Bruce, S., Sacks, S. Z., &amp; Brum, C. (2016). Assessment of students who have visual impairments and multiple disabilities. In Sacks, S. Z., </w:t>
      </w:r>
      <w:proofErr w:type="spellStart"/>
      <w:r>
        <w:rPr>
          <w:rFonts w:ascii="Verdana" w:eastAsia="Verdana" w:hAnsi="Verdana" w:cs="Verdana"/>
          <w:sz w:val="22"/>
          <w:szCs w:val="22"/>
        </w:rPr>
        <w:t>Zatta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M. C. (Eds.), </w:t>
      </w:r>
      <w:r>
        <w:rPr>
          <w:rFonts w:ascii="Verdana" w:eastAsia="Verdana" w:hAnsi="Verdana" w:cs="Verdana"/>
          <w:i/>
          <w:sz w:val="22"/>
          <w:szCs w:val="22"/>
        </w:rPr>
        <w:t>Keys to educational success: Teaching students with visual impairments and multiple disabilities</w:t>
      </w:r>
      <w:r>
        <w:rPr>
          <w:rFonts w:ascii="Verdana" w:eastAsia="Verdana" w:hAnsi="Verdana" w:cs="Verdana"/>
          <w:sz w:val="22"/>
          <w:szCs w:val="22"/>
        </w:rPr>
        <w:t xml:space="preserve"> (pp. 101-147). New York, NY: American Foundation for the Blind Press. </w:t>
      </w:r>
    </w:p>
    <w:p w14:paraId="3A16669F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Bruce, S., &amp; Vargas, C. (2012). Assessment and instruction of object permanence in children with blindness or multiple disabilities. </w:t>
      </w:r>
      <w:r>
        <w:rPr>
          <w:rFonts w:ascii="Verdana" w:eastAsia="Verdana" w:hAnsi="Verdana" w:cs="Verdana"/>
          <w:i/>
          <w:sz w:val="22"/>
          <w:szCs w:val="22"/>
        </w:rPr>
        <w:t>Journal of Visual Impairment &amp; Blindness, 106</w:t>
      </w:r>
      <w:r>
        <w:rPr>
          <w:rFonts w:ascii="Verdana" w:eastAsia="Verdana" w:hAnsi="Verdana" w:cs="Verdana"/>
          <w:sz w:val="22"/>
          <w:szCs w:val="22"/>
        </w:rPr>
        <w:t>, 717–727.</w:t>
      </w:r>
    </w:p>
    <w:p w14:paraId="086BC3B2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Bruce, S., </w:t>
      </w:r>
      <w:proofErr w:type="spellStart"/>
      <w:r>
        <w:rPr>
          <w:rFonts w:ascii="Verdana" w:eastAsia="Verdana" w:hAnsi="Verdana" w:cs="Verdana"/>
          <w:sz w:val="22"/>
          <w:szCs w:val="22"/>
        </w:rPr>
        <w:t>Luckner</w:t>
      </w:r>
      <w:proofErr w:type="spellEnd"/>
      <w:r>
        <w:rPr>
          <w:rFonts w:ascii="Verdana" w:eastAsia="Verdana" w:hAnsi="Verdana" w:cs="Verdana"/>
          <w:sz w:val="22"/>
          <w:szCs w:val="22"/>
        </w:rPr>
        <w:t>, J., &amp; Ferrell, K. (2018). Assessment of students with sensory disabilities:</w:t>
      </w:r>
      <w:r>
        <w:rPr>
          <w:rFonts w:ascii="Verdana" w:eastAsia="Verdana" w:hAnsi="Verdana" w:cs="Verdana"/>
          <w:i/>
          <w:sz w:val="22"/>
          <w:szCs w:val="22"/>
        </w:rPr>
        <w:t xml:space="preserve"> Evidence-based practices. Assessment for Effective Intervention, 43</w:t>
      </w:r>
      <w:r>
        <w:rPr>
          <w:rFonts w:ascii="Verdana" w:eastAsia="Verdana" w:hAnsi="Verdana" w:cs="Verdana"/>
          <w:sz w:val="22"/>
          <w:szCs w:val="22"/>
        </w:rPr>
        <w:t>(2) 79-89.</w:t>
      </w:r>
    </w:p>
    <w:p w14:paraId="293F46A7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Chen, D., Rowland, C., Stillman, R., &amp; Mar, H. (2009). Authentic practices for assessing skills of young children with sensory impairments and multiple disabilities. </w:t>
      </w:r>
      <w:r>
        <w:rPr>
          <w:rFonts w:ascii="Verdana" w:eastAsia="Verdana" w:hAnsi="Verdana" w:cs="Verdana"/>
          <w:i/>
          <w:sz w:val="22"/>
          <w:szCs w:val="22"/>
        </w:rPr>
        <w:t>Early Childhood Services 3</w:t>
      </w:r>
      <w:r>
        <w:rPr>
          <w:rFonts w:ascii="Verdana" w:eastAsia="Verdana" w:hAnsi="Verdana" w:cs="Verdana"/>
          <w:sz w:val="22"/>
          <w:szCs w:val="22"/>
        </w:rPr>
        <w:t xml:space="preserve">(4) 323-338. </w:t>
      </w:r>
    </w:p>
    <w:p w14:paraId="7B8636FA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Dammeyer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J. (2016). Challenges and praxis in assessment of congenital </w:t>
      </w:r>
      <w:proofErr w:type="spellStart"/>
      <w:r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i/>
          <w:sz w:val="22"/>
          <w:szCs w:val="22"/>
        </w:rPr>
        <w:t>Journal of Deafblind Studies on Communication, 2</w:t>
      </w:r>
      <w:r>
        <w:rPr>
          <w:rFonts w:ascii="Verdana" w:eastAsia="Verdana" w:hAnsi="Verdana" w:cs="Verdana"/>
          <w:sz w:val="22"/>
          <w:szCs w:val="22"/>
        </w:rPr>
        <w:t>(1), 63-72.</w:t>
      </w:r>
    </w:p>
    <w:p w14:paraId="66F80B81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Ferrell, K. A., Bruce, S., &amp; </w:t>
      </w:r>
      <w:proofErr w:type="spellStart"/>
      <w:r>
        <w:rPr>
          <w:rFonts w:ascii="Verdana" w:eastAsia="Verdana" w:hAnsi="Verdana" w:cs="Verdana"/>
          <w:sz w:val="22"/>
          <w:szCs w:val="22"/>
        </w:rPr>
        <w:t>Luckner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J. L. (2014). </w:t>
      </w:r>
      <w:hyperlink r:id="rId8">
        <w:r>
          <w:rPr>
            <w:rFonts w:ascii="Verdana" w:eastAsia="Verdana" w:hAnsi="Verdana" w:cs="Verdana"/>
            <w:i/>
            <w:color w:val="1155CC"/>
            <w:sz w:val="22"/>
            <w:szCs w:val="22"/>
            <w:u w:val="single"/>
          </w:rPr>
          <w:t>Evidence-based practices for students with sensory impairments</w:t>
        </w:r>
      </w:hyperlink>
      <w:r>
        <w:rPr>
          <w:rFonts w:ascii="Verdana" w:eastAsia="Verdana" w:hAnsi="Verdana" w:cs="Verdana"/>
          <w:sz w:val="22"/>
          <w:szCs w:val="22"/>
        </w:rPr>
        <w:t xml:space="preserve"> (Document No. IC-4). University of Florida, Collaboration for Effective Educator, Development, Accountability, and Reform (CEEDAR) Center.</w:t>
      </w:r>
    </w:p>
    <w:p w14:paraId="54DE4946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lastRenderedPageBreak/>
        <w:t>Hoevenaars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-van den Boom, M., </w:t>
      </w:r>
      <w:proofErr w:type="spellStart"/>
      <w:r>
        <w:rPr>
          <w:rFonts w:ascii="Verdana" w:eastAsia="Verdana" w:hAnsi="Verdana" w:cs="Verdana"/>
          <w:sz w:val="22"/>
          <w:szCs w:val="22"/>
        </w:rPr>
        <w:t>Antonissen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A., </w:t>
      </w:r>
      <w:proofErr w:type="spellStart"/>
      <w:r>
        <w:rPr>
          <w:rFonts w:ascii="Verdana" w:eastAsia="Verdana" w:hAnsi="Verdana" w:cs="Verdana"/>
          <w:sz w:val="22"/>
          <w:szCs w:val="22"/>
        </w:rPr>
        <w:t>Knoors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H., &amp; </w:t>
      </w:r>
      <w:proofErr w:type="spellStart"/>
      <w:r>
        <w:rPr>
          <w:rFonts w:ascii="Verdana" w:eastAsia="Verdana" w:hAnsi="Verdana" w:cs="Verdana"/>
          <w:sz w:val="22"/>
          <w:szCs w:val="22"/>
        </w:rPr>
        <w:t>Vervloed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M. (2009). Differentiating characteristics of </w:t>
      </w:r>
      <w:proofErr w:type="spellStart"/>
      <w:r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 autism in people with congenital </w:t>
      </w:r>
      <w:proofErr w:type="spellStart"/>
      <w:r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 profound intellectual disability.</w:t>
      </w:r>
      <w:r>
        <w:rPr>
          <w:rFonts w:ascii="Verdana" w:eastAsia="Verdana" w:hAnsi="Verdana" w:cs="Verdana"/>
          <w:i/>
          <w:sz w:val="22"/>
          <w:szCs w:val="22"/>
        </w:rPr>
        <w:t xml:space="preserve"> Journal of Intellectual Disability Research, 5</w:t>
      </w:r>
      <w:r>
        <w:rPr>
          <w:rFonts w:ascii="Verdana" w:eastAsia="Verdana" w:hAnsi="Verdana" w:cs="Verdana"/>
          <w:sz w:val="22"/>
          <w:szCs w:val="22"/>
        </w:rPr>
        <w:t>3(6) pp 548-558.</w:t>
      </w:r>
    </w:p>
    <w:p w14:paraId="6EADF478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 </w:t>
      </w:r>
      <w:proofErr w:type="spellStart"/>
      <w:r>
        <w:rPr>
          <w:rFonts w:ascii="Verdana" w:eastAsia="Verdana" w:hAnsi="Verdana" w:cs="Verdana"/>
          <w:sz w:val="22"/>
          <w:szCs w:val="22"/>
        </w:rPr>
        <w:t>Spata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M. G. (2019). Assessment and Intervention for Individuals </w:t>
      </w:r>
      <w:proofErr w:type="gramStart"/>
      <w:r>
        <w:rPr>
          <w:rFonts w:ascii="Verdana" w:eastAsia="Verdana" w:hAnsi="Verdana" w:cs="Verdana"/>
          <w:sz w:val="22"/>
          <w:szCs w:val="22"/>
        </w:rPr>
        <w:t>With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CHARGE Syndrome. </w:t>
      </w:r>
      <w:r>
        <w:rPr>
          <w:rFonts w:ascii="Verdana" w:eastAsia="Verdana" w:hAnsi="Verdana" w:cs="Verdana"/>
          <w:i/>
          <w:sz w:val="22"/>
          <w:szCs w:val="22"/>
        </w:rPr>
        <w:t>Journal of Health Service Psychology, 45</w:t>
      </w:r>
      <w:r>
        <w:rPr>
          <w:rFonts w:ascii="Verdana" w:eastAsia="Verdana" w:hAnsi="Verdana" w:cs="Verdana"/>
          <w:sz w:val="22"/>
          <w:szCs w:val="22"/>
        </w:rPr>
        <w:t>(2), 58-64.</w:t>
      </w:r>
    </w:p>
    <w:p w14:paraId="22888AF8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McKenzie, A. R. (2009). Unique considerations for assessing the learning media of students who are deaf-blind. </w:t>
      </w:r>
      <w:r>
        <w:rPr>
          <w:rFonts w:ascii="Verdana" w:eastAsia="Verdana" w:hAnsi="Verdana" w:cs="Verdana"/>
          <w:i/>
          <w:sz w:val="22"/>
          <w:szCs w:val="22"/>
        </w:rPr>
        <w:t>Journal of Visual Impairment &amp; Blindness, 103</w:t>
      </w:r>
      <w:r>
        <w:rPr>
          <w:rFonts w:ascii="Verdana" w:eastAsia="Verdana" w:hAnsi="Verdana" w:cs="Verdana"/>
          <w:sz w:val="22"/>
          <w:szCs w:val="22"/>
        </w:rPr>
        <w:t>(4), 241-245.</w:t>
      </w:r>
    </w:p>
    <w:p w14:paraId="6B480ACE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Nelson, C., van Dijk, J., Oster, T., &amp; McDonnell, A. (2009). </w:t>
      </w:r>
      <w:r>
        <w:rPr>
          <w:rFonts w:ascii="Verdana" w:eastAsia="Verdana" w:hAnsi="Verdana" w:cs="Verdana"/>
          <w:i/>
          <w:sz w:val="22"/>
          <w:szCs w:val="22"/>
        </w:rPr>
        <w:t>Child-guided strategies: The van Dijk approach to assessment</w:t>
      </w:r>
      <w:r>
        <w:rPr>
          <w:rFonts w:ascii="Verdana" w:eastAsia="Verdana" w:hAnsi="Verdana" w:cs="Verdana"/>
          <w:sz w:val="22"/>
          <w:szCs w:val="22"/>
        </w:rPr>
        <w:t>. NY: American Printing House for the Blind, Inc.</w:t>
      </w:r>
    </w:p>
    <w:p w14:paraId="45D38250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Nelson, C., Janssen, M., Oster, T., &amp; Jayaraman, G. (2010). Reliability and fidelity of the Van Dijk assessment. </w:t>
      </w:r>
      <w:r>
        <w:rPr>
          <w:rFonts w:ascii="Verdana" w:eastAsia="Verdana" w:hAnsi="Verdana" w:cs="Verdana"/>
          <w:i/>
          <w:sz w:val="22"/>
          <w:szCs w:val="22"/>
        </w:rPr>
        <w:t>AER Journal: Research and Practice in Visual Impairment and Blindness</w:t>
      </w:r>
      <w:r>
        <w:rPr>
          <w:rFonts w:ascii="Verdana" w:eastAsia="Verdana" w:hAnsi="Verdana" w:cs="Verdana"/>
          <w:sz w:val="22"/>
          <w:szCs w:val="22"/>
        </w:rPr>
        <w:t xml:space="preserve">, 3(3) 71-80. </w:t>
      </w:r>
    </w:p>
    <w:p w14:paraId="5E3B0C1B" w14:textId="77777777" w:rsidR="00ED640B" w:rsidRDefault="00000000">
      <w:pPr>
        <w:spacing w:before="0" w:after="0"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Nicholas, J. (2020). Cognitive assessment of children who are deafblind: Perspectives and suggestions for assessments. </w:t>
      </w:r>
      <w:r>
        <w:rPr>
          <w:rFonts w:ascii="Verdana" w:eastAsia="Verdana" w:hAnsi="Verdana" w:cs="Verdana"/>
          <w:i/>
          <w:sz w:val="22"/>
          <w:szCs w:val="22"/>
        </w:rPr>
        <w:t>Frontiers in Psychology, 11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1A4C47DF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Riggio, M., &amp; McLetchie, B. (Eds.). (2008). </w:t>
      </w:r>
      <w:r>
        <w:rPr>
          <w:rFonts w:ascii="Verdana" w:eastAsia="Verdana" w:hAnsi="Verdana" w:cs="Verdana"/>
          <w:i/>
          <w:sz w:val="22"/>
          <w:szCs w:val="22"/>
        </w:rPr>
        <w:t xml:space="preserve">Assessment </w:t>
      </w:r>
      <w:proofErr w:type="gramStart"/>
      <w:r>
        <w:rPr>
          <w:rFonts w:ascii="Verdana" w:eastAsia="Verdana" w:hAnsi="Verdana" w:cs="Verdana"/>
          <w:i/>
          <w:sz w:val="22"/>
          <w:szCs w:val="22"/>
        </w:rPr>
        <w:t>in</w:t>
      </w:r>
      <w:proofErr w:type="gramEnd"/>
      <w:r>
        <w:rPr>
          <w:rFonts w:ascii="Verdana" w:eastAsia="Verdana" w:hAnsi="Verdana" w:cs="Verdana"/>
          <w:i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i/>
          <w:sz w:val="22"/>
          <w:szCs w:val="22"/>
        </w:rPr>
        <w:t>deafblindness</w:t>
      </w:r>
      <w:proofErr w:type="spellEnd"/>
      <w:r>
        <w:rPr>
          <w:rFonts w:ascii="Verdana" w:eastAsia="Verdana" w:hAnsi="Verdana" w:cs="Verdana"/>
          <w:i/>
          <w:sz w:val="22"/>
          <w:szCs w:val="22"/>
        </w:rPr>
        <w:t xml:space="preserve">: </w:t>
      </w:r>
      <w:proofErr w:type="gramStart"/>
      <w:r>
        <w:rPr>
          <w:rFonts w:ascii="Verdana" w:eastAsia="Verdana" w:hAnsi="Verdana" w:cs="Verdana"/>
          <w:i/>
          <w:sz w:val="22"/>
          <w:szCs w:val="22"/>
        </w:rPr>
        <w:t>Educational</w:t>
      </w:r>
      <w:proofErr w:type="gramEnd"/>
      <w:r>
        <w:rPr>
          <w:rFonts w:ascii="Verdana" w:eastAsia="Verdana" w:hAnsi="Verdana" w:cs="Verdana"/>
          <w:i/>
          <w:sz w:val="22"/>
          <w:szCs w:val="22"/>
        </w:rPr>
        <w:t xml:space="preserve"> service guidelines</w:t>
      </w:r>
      <w:r>
        <w:rPr>
          <w:rFonts w:ascii="Verdana" w:eastAsia="Verdana" w:hAnsi="Verdana" w:cs="Verdana"/>
          <w:sz w:val="22"/>
          <w:szCs w:val="22"/>
        </w:rPr>
        <w:t>. Boston, MA. Perkins School for the Blind.</w:t>
      </w:r>
    </w:p>
    <w:p w14:paraId="7B6DE43D" w14:textId="5B87997A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Rowland, C., (Ed). (2009). </w:t>
      </w:r>
      <w:hyperlink r:id="rId9"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Assessing communication and learning in young children who are deafblind or who have multiple disabilitie</w:t>
        </w:r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s</w:t>
        </w:r>
      </w:hyperlink>
      <w:r>
        <w:rPr>
          <w:rFonts w:ascii="Verdana" w:eastAsia="Verdana" w:hAnsi="Verdana" w:cs="Verdana"/>
          <w:sz w:val="22"/>
          <w:szCs w:val="22"/>
        </w:rPr>
        <w:t xml:space="preserve">. Portland, OR: Design to Learn, Oregon Health &amp; Sciences University. Retrieved from </w:t>
      </w:r>
    </w:p>
    <w:p w14:paraId="41D9FB23" w14:textId="77777777" w:rsidR="00ED640B" w:rsidRDefault="00000000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Rowland, C., Stillman, R., &amp; Mar, H. (2010). Current assessment practices for young children who are deaf-blind. </w:t>
      </w:r>
      <w:r>
        <w:rPr>
          <w:rFonts w:ascii="Verdana" w:eastAsia="Verdana" w:hAnsi="Verdana" w:cs="Verdana"/>
          <w:i/>
          <w:sz w:val="22"/>
          <w:szCs w:val="22"/>
        </w:rPr>
        <w:t>AER: Research and Practice in Visual Impairment and Blindness, 3</w:t>
      </w:r>
      <w:r>
        <w:rPr>
          <w:rFonts w:ascii="Verdana" w:eastAsia="Verdana" w:hAnsi="Verdana" w:cs="Verdana"/>
          <w:sz w:val="22"/>
          <w:szCs w:val="22"/>
        </w:rPr>
        <w:t>(3), 61-70.</w:t>
      </w:r>
    </w:p>
    <w:p w14:paraId="628434AC" w14:textId="77777777" w:rsidR="00ED640B" w:rsidRDefault="00000000">
      <w:pPr>
        <w:spacing w:before="0" w:after="0"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Tanner, L., McGlade, A., &amp; Irwin, M. (2021). </w:t>
      </w:r>
      <w:hyperlink r:id="rId10"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 xml:space="preserve">Engagement and inclusion of individuals with a dual sensory loss and learning disability </w:t>
        </w:r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i</w:t>
        </w:r>
        <w:r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n the assessment process-staff perspectives</w:t>
        </w:r>
      </w:hyperlink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i/>
          <w:sz w:val="22"/>
          <w:szCs w:val="22"/>
        </w:rPr>
        <w:t>Practice (09503153), 33</w:t>
      </w:r>
      <w:r>
        <w:rPr>
          <w:rFonts w:ascii="Verdana" w:eastAsia="Verdana" w:hAnsi="Verdana" w:cs="Verdana"/>
          <w:sz w:val="22"/>
          <w:szCs w:val="22"/>
        </w:rPr>
        <w:t xml:space="preserve">(2), 119–135.  </w:t>
      </w:r>
    </w:p>
    <w:p w14:paraId="04E584DA" w14:textId="77777777" w:rsidR="00ED640B" w:rsidRDefault="00ED640B"/>
    <w:p w14:paraId="742654EB" w14:textId="77777777" w:rsidR="00ED640B" w:rsidRDefault="00ED640B"/>
    <w:p w14:paraId="7D949E46" w14:textId="77777777" w:rsidR="00ED640B" w:rsidRDefault="00000000">
      <w:pPr>
        <w:spacing w:befor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National Center on Deaf-Blindness, December 2022</w:t>
      </w:r>
    </w:p>
    <w:p w14:paraId="4988DAA4" w14:textId="77777777" w:rsidR="00ED640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nationaldb.org</w:t>
      </w:r>
    </w:p>
    <w:p w14:paraId="22389F1F" w14:textId="77777777" w:rsidR="00ED640B" w:rsidRDefault="00000000">
      <w:pPr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>
        <w:rPr>
          <w:sz w:val="18"/>
          <w:szCs w:val="18"/>
        </w:rPr>
        <w:t>Weigert</w:t>
      </w:r>
      <w:proofErr w:type="spellEnd"/>
      <w:r>
        <w:rPr>
          <w:sz w:val="18"/>
          <w:szCs w:val="18"/>
        </w:rPr>
        <w:t>.</w:t>
      </w:r>
    </w:p>
    <w:p w14:paraId="713D1E0F" w14:textId="77777777" w:rsidR="00ED640B" w:rsidRDefault="00000000">
      <w:pPr>
        <w:jc w:val="center"/>
      </w:pPr>
      <w:r>
        <w:rPr>
          <w:noProof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70F52" w14:textId="77777777" w:rsidR="00ED640B" w:rsidRDefault="00ED640B"/>
    <w:p w14:paraId="19D3AFF5" w14:textId="77777777" w:rsidR="00ED640B" w:rsidRDefault="00ED640B"/>
    <w:p w14:paraId="69120472" w14:textId="77777777" w:rsidR="00ED640B" w:rsidRDefault="00ED640B"/>
    <w:sectPr w:rsidR="00ED640B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0614" w14:textId="77777777" w:rsidR="00F5539E" w:rsidRDefault="00F5539E">
      <w:pPr>
        <w:spacing w:before="0" w:after="0" w:line="240" w:lineRule="auto"/>
      </w:pPr>
      <w:r>
        <w:separator/>
      </w:r>
    </w:p>
  </w:endnote>
  <w:endnote w:type="continuationSeparator" w:id="0">
    <w:p w14:paraId="384C4A5D" w14:textId="77777777" w:rsidR="00F5539E" w:rsidRDefault="00F553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ans Condensed">
    <w:panose1 w:val="020B0506050203000203"/>
    <w:charset w:val="00"/>
    <w:family w:val="swiss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4933" w14:textId="77777777" w:rsidR="00F5539E" w:rsidRDefault="00F5539E">
      <w:pPr>
        <w:spacing w:before="0" w:after="0" w:line="240" w:lineRule="auto"/>
      </w:pPr>
      <w:r>
        <w:separator/>
      </w:r>
    </w:p>
  </w:footnote>
  <w:footnote w:type="continuationSeparator" w:id="0">
    <w:p w14:paraId="4CB28BB2" w14:textId="77777777" w:rsidR="00F5539E" w:rsidRDefault="00F553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2D494D"/>
    <w:rsid w:val="00301614"/>
    <w:rsid w:val="0033262D"/>
    <w:rsid w:val="004D53F3"/>
    <w:rsid w:val="00613F50"/>
    <w:rsid w:val="00A06CC7"/>
    <w:rsid w:val="00ED640B"/>
    <w:rsid w:val="00F5539E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edar.education.ufl.edu/tools/innovation-configurations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rdicwelfare.org/wp-content/uploads/2017/10/Guidelines20for20Assessment20of20Cognition20in20Relation20to20Congenital20Deafblindness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9503153.2019.16951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uments.nationaldb.org/DeafBlindAssessmentGuide_Rowland.pdf?_gl=1*g2r8zv*_ga*ODkxMDkyMzQzLjE2Njg0NTU2MTA.*_ga_V1FT5ZM088*MTY3MTgyNTU3Ni4xMDQuMS4xNjcxODI5NjM0LjAuMC4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Beck</cp:lastModifiedBy>
  <cp:revision>5</cp:revision>
  <dcterms:created xsi:type="dcterms:W3CDTF">2022-12-24T01:34:00Z</dcterms:created>
  <dcterms:modified xsi:type="dcterms:W3CDTF">2022-12-28T21:22:00Z</dcterms:modified>
</cp:coreProperties>
</file>