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6689" w:rsidRDefault="002D5885" w:rsidP="00D16689">
      <w:pPr>
        <w:jc w:val="center"/>
        <w:rPr>
          <w:rFonts w:ascii="Tahoma" w:hAnsi="Tahoma" w:cs="Tahoma"/>
          <w:iCs/>
          <w:color w:val="222222"/>
          <w:shd w:val="clear" w:color="auto" w:fill="FFFFFF"/>
        </w:rPr>
      </w:pPr>
      <w:r>
        <w:rPr>
          <w:noProof/>
        </w:rPr>
        <w:drawing>
          <wp:inline distT="0" distB="0" distL="0" distR="0" wp14:anchorId="602D7320" wp14:editId="0BB4FD6F">
            <wp:extent cx="5021580" cy="1178140"/>
            <wp:effectExtent l="0" t="0" r="7620" b="3175"/>
            <wp:docPr id="7" name="Picture 7" descr="Logotipo de Texas School for the Blind and Visually Impaired&#10;Escuela de Texas para Ciegos y Discapacitados Visuales Programas de asistencia&#10;www.tsbvi.edu&#10;512-454-8631&#10;1100 W. 45th St. &#10;Austin, Texas 78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47862" cy="1184306"/>
                    </a:xfrm>
                    <a:prstGeom prst="rect">
                      <a:avLst/>
                    </a:prstGeom>
                  </pic:spPr>
                </pic:pic>
              </a:graphicData>
            </a:graphic>
          </wp:inline>
        </w:drawing>
      </w:r>
    </w:p>
    <w:p w:rsidR="00C96604" w:rsidRPr="00C96604" w:rsidRDefault="00C96604" w:rsidP="00C96604">
      <w:pPr>
        <w:spacing w:after="240"/>
        <w:rPr>
          <w:rFonts w:ascii="Tahoma" w:hAnsi="Tahoma" w:cs="Tahoma"/>
          <w:b/>
          <w:i/>
        </w:rPr>
      </w:pPr>
      <w:r w:rsidRPr="00C96604">
        <w:rPr>
          <w:rFonts w:ascii="Tahoma" w:hAnsi="Tahoma" w:cs="Tahoma"/>
          <w:b/>
          <w:i/>
          <w:iCs/>
          <w:shd w:val="clear" w:color="auto" w:fill="FFFFFF"/>
        </w:rPr>
        <w:t>State deaf-blind projects have permission to adapt this letter for use by their own projects. Please include appropriate citation information. For example, "Adapted with permission from [document name, state deaf-blind project name, date (if available)]."</w:t>
      </w:r>
    </w:p>
    <w:p w:rsidR="009649F1" w:rsidRPr="00203130" w:rsidRDefault="009649F1" w:rsidP="009649F1">
      <w:pPr>
        <w:rPr>
          <w:rFonts w:ascii="Tahoma" w:hAnsi="Tahoma" w:cs="Tahoma"/>
          <w:lang w:val="es-ES"/>
        </w:rPr>
      </w:pPr>
      <w:bookmarkStart w:id="0" w:name="_GoBack"/>
      <w:bookmarkEnd w:id="0"/>
      <w:r w:rsidRPr="00203130">
        <w:rPr>
          <w:rFonts w:ascii="Tahoma" w:hAnsi="Tahoma" w:cs="Tahoma"/>
          <w:lang w:val="es-ES"/>
        </w:rPr>
        <w:t>¡Bienvenidas, familias!</w:t>
      </w:r>
      <w:r w:rsidRPr="00203130">
        <w:rPr>
          <w:rFonts w:ascii="Tahoma" w:hAnsi="Tahoma" w:cs="Tahoma"/>
          <w:b/>
          <w:lang w:val="es-ES"/>
        </w:rPr>
        <w:t xml:space="preserve"> </w:t>
      </w:r>
    </w:p>
    <w:p w:rsidR="00C97DBF" w:rsidRPr="00203130" w:rsidRDefault="00C97DBF">
      <w:pPr>
        <w:rPr>
          <w:rFonts w:ascii="Tahoma" w:hAnsi="Tahoma" w:cs="Tahoma"/>
          <w:lang w:val="es-ES"/>
        </w:rPr>
      </w:pPr>
    </w:p>
    <w:p w:rsidR="009649F1" w:rsidRPr="00203130" w:rsidRDefault="009649F1" w:rsidP="00835AE2">
      <w:pPr>
        <w:spacing w:after="120"/>
        <w:rPr>
          <w:rFonts w:ascii="Tahoma" w:hAnsi="Tahoma" w:cs="Tahoma"/>
          <w:lang w:val="es-ES"/>
        </w:rPr>
      </w:pPr>
      <w:r w:rsidRPr="00203130">
        <w:rPr>
          <w:rFonts w:ascii="Tahoma" w:hAnsi="Tahoma" w:cs="Tahoma"/>
          <w:lang w:val="es-ES"/>
        </w:rPr>
        <w:t>Estamos felices de que el equipo educativo de su hijo le haya solicitado asesoramiento sobre la escuela al Departamento de Asistencia de la Escuela de Texas para Cieg</w:t>
      </w:r>
      <w:r w:rsidR="00A40485" w:rsidRPr="00203130">
        <w:rPr>
          <w:rFonts w:ascii="Tahoma" w:hAnsi="Tahoma" w:cs="Tahoma"/>
          <w:lang w:val="es-ES"/>
        </w:rPr>
        <w:t>o</w:t>
      </w:r>
      <w:r w:rsidRPr="00203130">
        <w:rPr>
          <w:rFonts w:ascii="Tahoma" w:hAnsi="Tahoma" w:cs="Tahoma"/>
          <w:lang w:val="es-ES"/>
        </w:rPr>
        <w:t xml:space="preserve">s y </w:t>
      </w:r>
      <w:r w:rsidR="00A40485" w:rsidRPr="00203130">
        <w:rPr>
          <w:rFonts w:ascii="Tahoma" w:hAnsi="Tahoma" w:cs="Tahoma"/>
          <w:lang w:val="es-ES"/>
        </w:rPr>
        <w:t>Discapacitad</w:t>
      </w:r>
      <w:r w:rsidRPr="00203130">
        <w:rPr>
          <w:rFonts w:ascii="Tahoma" w:hAnsi="Tahoma" w:cs="Tahoma"/>
          <w:lang w:val="es-ES"/>
        </w:rPr>
        <w:t xml:space="preserve">os Visuales (TSBVI, Texas School for the Blind and Visually Impaired). Para ayudarlo a que se prepare para nuestra conversación, incluimos cierta información sobre el proceso de asesoramiento sobre la escuela. </w:t>
      </w:r>
    </w:p>
    <w:p w:rsidR="009649F1" w:rsidRPr="00203130" w:rsidRDefault="009649F1" w:rsidP="009649F1">
      <w:pPr>
        <w:rPr>
          <w:rFonts w:ascii="Tahoma" w:hAnsi="Tahoma" w:cs="Tahoma"/>
          <w:lang w:val="es-ES"/>
        </w:rPr>
      </w:pPr>
      <w:r w:rsidRPr="00203130">
        <w:rPr>
          <w:rFonts w:ascii="Tahoma" w:hAnsi="Tahoma" w:cs="Tahoma"/>
          <w:lang w:val="es-ES"/>
        </w:rPr>
        <w:t xml:space="preserve">Nos comunicaremos con usted para conversar sobre nuestra visita y para obtener un poco más de información sobre su hijo. En esa ocasión, tendrá la posibilidad de conocer a nuestro asesor educativo y, de ser posible, a nuestro especialista en participación familiar. Ellos le informarán cómo funciona el proceso de asesoramiento sobre la escuela (tema que se aborda muy brevemente en el documento de Preguntas frecuentas adjunto). También será una oportunidad para conocer las formas en que podemos brindarle ayuda, además de asesoramiento. </w:t>
      </w:r>
    </w:p>
    <w:p w:rsidR="00531580" w:rsidRPr="00203130" w:rsidRDefault="00531580" w:rsidP="00D301CD">
      <w:pPr>
        <w:rPr>
          <w:rFonts w:ascii="Tahoma" w:hAnsi="Tahoma" w:cs="Tahoma"/>
          <w:lang w:val="es-ES"/>
        </w:rPr>
      </w:pPr>
    </w:p>
    <w:p w:rsidR="009649F1" w:rsidRPr="00203130" w:rsidRDefault="009649F1" w:rsidP="009649F1">
      <w:pPr>
        <w:spacing w:after="120"/>
        <w:ind w:hanging="180"/>
        <w:rPr>
          <w:rFonts w:ascii="Tahoma" w:hAnsi="Tahoma" w:cs="Tahoma"/>
          <w:lang w:val="es-ES"/>
        </w:rPr>
      </w:pPr>
      <w:r w:rsidRPr="00203130">
        <w:rPr>
          <w:rFonts w:ascii="Tahoma" w:hAnsi="Tahoma" w:cs="Tahoma"/>
          <w:lang w:val="es-ES"/>
        </w:rPr>
        <w:t xml:space="preserve"> Algunas de las maneras en que podemos ayudarlo incluyen:</w:t>
      </w:r>
    </w:p>
    <w:p w:rsidR="009649F1" w:rsidRPr="00203130" w:rsidRDefault="009649F1" w:rsidP="006D2456">
      <w:pPr>
        <w:pStyle w:val="ListParagraph"/>
        <w:numPr>
          <w:ilvl w:val="0"/>
          <w:numId w:val="3"/>
        </w:numPr>
        <w:tabs>
          <w:tab w:val="left" w:pos="5760"/>
        </w:tabs>
        <w:rPr>
          <w:rFonts w:ascii="Tahoma" w:hAnsi="Tahoma" w:cs="Tahoma"/>
          <w:lang w:val="es-ES"/>
        </w:rPr>
      </w:pPr>
      <w:r w:rsidRPr="00203130">
        <w:rPr>
          <w:rFonts w:ascii="Tahoma" w:hAnsi="Tahoma" w:cs="Tahoma"/>
          <w:lang w:val="es-ES"/>
        </w:rPr>
        <w:t>Conversaciones sobre cuestiones familiares, la participación comunitaria de su hijo, el programa escolar y las opciones de apoyo relacionadas.</w:t>
      </w:r>
    </w:p>
    <w:p w:rsidR="009649F1" w:rsidRPr="00203130" w:rsidRDefault="009649F1" w:rsidP="006D2456">
      <w:pPr>
        <w:pStyle w:val="ListParagraph"/>
        <w:numPr>
          <w:ilvl w:val="0"/>
          <w:numId w:val="3"/>
        </w:numPr>
        <w:tabs>
          <w:tab w:val="left" w:pos="5760"/>
        </w:tabs>
        <w:rPr>
          <w:rFonts w:ascii="Tahoma" w:hAnsi="Tahoma" w:cs="Tahoma"/>
          <w:lang w:val="es-ES"/>
        </w:rPr>
      </w:pPr>
      <w:r w:rsidRPr="00203130">
        <w:rPr>
          <w:rFonts w:ascii="Tahoma" w:hAnsi="Tahoma" w:cs="Tahoma"/>
          <w:lang w:val="es-ES"/>
        </w:rPr>
        <w:t>Capacitación para su familia.</w:t>
      </w:r>
    </w:p>
    <w:p w:rsidR="009649F1" w:rsidRPr="00203130" w:rsidRDefault="009649F1" w:rsidP="006D2456">
      <w:pPr>
        <w:pStyle w:val="ListParagraph"/>
        <w:numPr>
          <w:ilvl w:val="0"/>
          <w:numId w:val="3"/>
        </w:numPr>
        <w:tabs>
          <w:tab w:val="left" w:pos="5760"/>
        </w:tabs>
        <w:rPr>
          <w:rFonts w:ascii="Tahoma" w:hAnsi="Tahoma" w:cs="Tahoma"/>
          <w:lang w:val="es-ES"/>
        </w:rPr>
      </w:pPr>
      <w:r w:rsidRPr="00203130">
        <w:rPr>
          <w:rFonts w:ascii="Tahoma" w:hAnsi="Tahoma" w:cs="Tahoma"/>
          <w:lang w:val="es-ES"/>
        </w:rPr>
        <w:t>Ayuda para acceder a asistencia económica a fin de cubrir gastos de viaje para participar de conferencias.</w:t>
      </w:r>
    </w:p>
    <w:p w:rsidR="006D2456" w:rsidRPr="00203130" w:rsidRDefault="009649F1" w:rsidP="006D2456">
      <w:pPr>
        <w:pStyle w:val="ListParagraph"/>
        <w:numPr>
          <w:ilvl w:val="0"/>
          <w:numId w:val="3"/>
        </w:numPr>
        <w:tabs>
          <w:tab w:val="left" w:pos="2160"/>
        </w:tabs>
        <w:rPr>
          <w:rFonts w:ascii="Tahoma" w:hAnsi="Tahoma" w:cs="Tahoma"/>
          <w:lang w:val="es-ES"/>
        </w:rPr>
      </w:pPr>
      <w:r w:rsidRPr="00203130">
        <w:rPr>
          <w:rFonts w:ascii="Tahoma" w:hAnsi="Tahoma" w:cs="Tahoma"/>
          <w:lang w:val="es-ES"/>
        </w:rPr>
        <w:t>Analizar la Capacitación de liderazgo familiar.</w:t>
      </w:r>
      <w:r w:rsidR="006D2456" w:rsidRPr="00203130">
        <w:rPr>
          <w:rFonts w:ascii="Tahoma" w:hAnsi="Tahoma" w:cs="Tahoma"/>
          <w:lang w:val="es-ES"/>
        </w:rPr>
        <w:t xml:space="preserve"> </w:t>
      </w:r>
    </w:p>
    <w:p w:rsidR="009649F1" w:rsidRPr="00203130" w:rsidRDefault="006D2456" w:rsidP="00835AE2">
      <w:pPr>
        <w:pStyle w:val="ListParagraph"/>
        <w:numPr>
          <w:ilvl w:val="0"/>
          <w:numId w:val="3"/>
        </w:numPr>
        <w:tabs>
          <w:tab w:val="left" w:pos="2160"/>
        </w:tabs>
        <w:spacing w:after="120"/>
        <w:rPr>
          <w:rFonts w:ascii="Tahoma" w:hAnsi="Tahoma" w:cs="Tahoma"/>
          <w:lang w:val="es-ES"/>
        </w:rPr>
      </w:pPr>
      <w:r w:rsidRPr="00203130">
        <w:rPr>
          <w:rFonts w:ascii="Tahoma" w:hAnsi="Tahoma" w:cs="Tahoma"/>
          <w:lang w:val="es-ES"/>
        </w:rPr>
        <w:t>A</w:t>
      </w:r>
      <w:r w:rsidR="009649F1" w:rsidRPr="00203130">
        <w:rPr>
          <w:rFonts w:ascii="Tahoma" w:hAnsi="Tahoma" w:cs="Tahoma"/>
          <w:lang w:val="es-ES"/>
        </w:rPr>
        <w:t>yuda para que obtenga más información sobre la educación especial, las organizaciones familiares, las exenciones de Medicaid, los recursos para la transición a la adultez y demás necesidades.</w:t>
      </w:r>
    </w:p>
    <w:p w:rsidR="009649F1" w:rsidRPr="00203130" w:rsidRDefault="009649F1" w:rsidP="009649F1">
      <w:pPr>
        <w:rPr>
          <w:rStyle w:val="Hyperlink"/>
          <w:rFonts w:ascii="Tahoma" w:hAnsi="Tahoma" w:cs="Tahoma"/>
        </w:rPr>
      </w:pPr>
      <w:r w:rsidRPr="00203130">
        <w:rPr>
          <w:rFonts w:ascii="Tahoma" w:hAnsi="Tahoma" w:cs="Tahoma"/>
          <w:lang w:val="es-ES"/>
        </w:rPr>
        <w:t xml:space="preserve">Si en algún momento desea hablar con nuestro especialista en participación familiar, </w:t>
      </w:r>
      <w:r w:rsidR="002C1079" w:rsidRPr="00203130">
        <w:rPr>
          <w:rFonts w:ascii="Tahoma" w:hAnsi="Tahoma" w:cs="Tahoma"/>
          <w:lang w:val="es-ES"/>
        </w:rPr>
        <w:t xml:space="preserve">por favor </w:t>
      </w:r>
      <w:r w:rsidRPr="00203130">
        <w:rPr>
          <w:rFonts w:ascii="Tahoma" w:hAnsi="Tahoma" w:cs="Tahoma"/>
          <w:lang w:val="es-ES"/>
        </w:rPr>
        <w:t xml:space="preserve">no dude en enviarnos un correo electrónico o llamarnos por teléfono. Si su hijo sufre pérdida de visión con o sin otras discapacidades, </w:t>
      </w:r>
      <w:r w:rsidR="002C1079" w:rsidRPr="00203130">
        <w:rPr>
          <w:rFonts w:ascii="Tahoma" w:hAnsi="Tahoma" w:cs="Tahoma"/>
          <w:lang w:val="es-ES"/>
        </w:rPr>
        <w:t xml:space="preserve">por favor </w:t>
      </w:r>
      <w:r w:rsidRPr="00203130">
        <w:rPr>
          <w:rFonts w:ascii="Tahoma" w:hAnsi="Tahoma" w:cs="Tahoma"/>
          <w:lang w:val="es-ES"/>
        </w:rPr>
        <w:t xml:space="preserve">comuníquese con Rachel Simpson al (512) 206-9418 y en </w:t>
      </w:r>
      <w:hyperlink r:id="rId6" w:history="1">
        <w:r w:rsidRPr="00203130">
          <w:rPr>
            <w:rStyle w:val="Hyperlink"/>
            <w:rFonts w:ascii="Tahoma" w:hAnsi="Tahoma" w:cs="Tahoma"/>
            <w:lang w:val="es-ES"/>
          </w:rPr>
          <w:t>simpsonr@tsbvi.edu</w:t>
        </w:r>
      </w:hyperlink>
      <w:r w:rsidRPr="00203130">
        <w:rPr>
          <w:rFonts w:ascii="Tahoma" w:hAnsi="Tahoma" w:cs="Tahoma"/>
          <w:lang w:val="es-ES"/>
        </w:rPr>
        <w:t xml:space="preserve">. Si su hijo sufre pérdida de visión y de audición, </w:t>
      </w:r>
      <w:r w:rsidR="002C1079" w:rsidRPr="00203130">
        <w:rPr>
          <w:rFonts w:ascii="Tahoma" w:hAnsi="Tahoma" w:cs="Tahoma"/>
          <w:lang w:val="es-ES"/>
        </w:rPr>
        <w:t xml:space="preserve">por favor </w:t>
      </w:r>
      <w:r w:rsidRPr="00203130">
        <w:rPr>
          <w:rFonts w:ascii="Tahoma" w:hAnsi="Tahoma" w:cs="Tahoma"/>
          <w:lang w:val="es-ES"/>
        </w:rPr>
        <w:t xml:space="preserve">comuníquese con Edgenie Bellah al (512) 206-9423 y en </w:t>
      </w:r>
      <w:hyperlink r:id="rId7" w:history="1">
        <w:r w:rsidRPr="00203130">
          <w:rPr>
            <w:rStyle w:val="Hyperlink"/>
            <w:rFonts w:ascii="Tahoma" w:hAnsi="Tahoma" w:cs="Tahoma"/>
            <w:lang w:val="es-ES"/>
          </w:rPr>
          <w:t>bellahe@tsbvi.edu</w:t>
        </w:r>
      </w:hyperlink>
      <w:r w:rsidRPr="00203130">
        <w:rPr>
          <w:rStyle w:val="Hyperlink"/>
          <w:rFonts w:ascii="Tahoma" w:hAnsi="Tahoma" w:cs="Tahoma"/>
          <w:lang w:val="es-ES"/>
        </w:rPr>
        <w:t>.</w:t>
      </w:r>
    </w:p>
    <w:p w:rsidR="009649F1" w:rsidRPr="00203130" w:rsidRDefault="009649F1" w:rsidP="00D729C7">
      <w:pPr>
        <w:rPr>
          <w:rStyle w:val="Hyperlink"/>
          <w:rFonts w:ascii="Tahoma" w:hAnsi="Tahoma" w:cs="Tahoma"/>
        </w:rPr>
      </w:pPr>
    </w:p>
    <w:p w:rsidR="009649F1" w:rsidRPr="00203130" w:rsidRDefault="009649F1" w:rsidP="009649F1">
      <w:pPr>
        <w:outlineLvl w:val="0"/>
        <w:rPr>
          <w:rFonts w:ascii="Tahoma" w:hAnsi="Tahoma" w:cs="Tahoma"/>
          <w:lang w:val="es-ES"/>
        </w:rPr>
      </w:pPr>
      <w:r w:rsidRPr="00203130">
        <w:rPr>
          <w:rFonts w:ascii="Tahoma" w:hAnsi="Tahoma" w:cs="Tahoma"/>
          <w:lang w:val="es-ES"/>
        </w:rPr>
        <w:t>¡Estamos ansiosos de poder trabajar con usted!</w:t>
      </w:r>
    </w:p>
    <w:p w:rsidR="007B3342" w:rsidRPr="00203130" w:rsidRDefault="007B3342" w:rsidP="00D729C7">
      <w:pPr>
        <w:rPr>
          <w:rFonts w:ascii="Tahoma" w:hAnsi="Tahoma" w:cs="Tahoma"/>
          <w:lang w:val="es-ES"/>
        </w:rPr>
      </w:pPr>
    </w:p>
    <w:p w:rsidR="009649F1" w:rsidRPr="00203130" w:rsidRDefault="009649F1" w:rsidP="009649F1">
      <w:pPr>
        <w:rPr>
          <w:rFonts w:ascii="Tahoma" w:hAnsi="Tahoma" w:cs="Tahoma"/>
          <w:lang w:val="es-ES"/>
        </w:rPr>
      </w:pPr>
      <w:r w:rsidRPr="00203130">
        <w:rPr>
          <w:rFonts w:ascii="Tahoma" w:hAnsi="Tahoma" w:cs="Tahoma"/>
          <w:lang w:val="es-ES"/>
        </w:rPr>
        <w:t>Cyral Miller,</w:t>
      </w:r>
    </w:p>
    <w:p w:rsidR="009649F1" w:rsidRDefault="009649F1" w:rsidP="009649F1">
      <w:pPr>
        <w:rPr>
          <w:rFonts w:ascii="Tahoma" w:hAnsi="Tahoma" w:cs="Tahoma"/>
          <w:lang w:val="es-ES"/>
        </w:rPr>
      </w:pPr>
      <w:r w:rsidRPr="00203130">
        <w:rPr>
          <w:rFonts w:ascii="Tahoma" w:hAnsi="Tahoma" w:cs="Tahoma"/>
          <w:lang w:val="es-ES"/>
        </w:rPr>
        <w:t>Directora de Asistencia de la TSBVI</w:t>
      </w:r>
    </w:p>
    <w:p w:rsidR="0080613B" w:rsidRDefault="0080613B" w:rsidP="009649F1">
      <w:pPr>
        <w:rPr>
          <w:rFonts w:ascii="Tahoma" w:hAnsi="Tahoma" w:cs="Tahoma"/>
          <w:lang w:val="es-ES"/>
        </w:rPr>
      </w:pPr>
    </w:p>
    <w:p w:rsidR="009649F1" w:rsidRPr="00203130" w:rsidRDefault="00D16689" w:rsidP="0080613B">
      <w:pPr>
        <w:jc w:val="center"/>
        <w:rPr>
          <w:rFonts w:ascii="Tahoma" w:hAnsi="Tahoma" w:cs="Tahoma"/>
          <w:lang w:val="es-ES"/>
        </w:rPr>
      </w:pPr>
      <w:r>
        <w:rPr>
          <w:noProof/>
        </w:rPr>
        <w:lastRenderedPageBreak/>
        <w:drawing>
          <wp:inline distT="0" distB="0" distL="0" distR="0" wp14:anchorId="277C7EC2" wp14:editId="6E179BC2">
            <wp:extent cx="4587240" cy="1199250"/>
            <wp:effectExtent l="0" t="0" r="3810" b="1270"/>
            <wp:docPr id="1" name="Picture 1" descr="Tres fotografías&#10;Fotografía Uno&#10;Un grupo de personas está en un círculo, cada persona tiene una parte de una cuerda larga para crear una red en el medio.&#10;Fotografía Dos&#10;“Niña con sordoceguera observa a su madre deletrear con los dedos&quot; &#10;Fotografía Tres&#10;Un niño y su padre se sientan uno al lado del otro en una bicicleta de dos perso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623540" cy="1208740"/>
                    </a:xfrm>
                    <a:prstGeom prst="rect">
                      <a:avLst/>
                    </a:prstGeom>
                  </pic:spPr>
                </pic:pic>
              </a:graphicData>
            </a:graphic>
          </wp:inline>
        </w:drawing>
      </w:r>
    </w:p>
    <w:sectPr w:rsidR="009649F1" w:rsidRPr="00203130" w:rsidSect="0080613B">
      <w:pgSz w:w="12240" w:h="15840"/>
      <w:pgMar w:top="432"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674A8"/>
    <w:multiLevelType w:val="hybridMultilevel"/>
    <w:tmpl w:val="4E72C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12211"/>
    <w:multiLevelType w:val="hybridMultilevel"/>
    <w:tmpl w:val="051ECE10"/>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2" w15:restartNumberingAfterBreak="0">
    <w:nsid w:val="1F867F1E"/>
    <w:multiLevelType w:val="hybridMultilevel"/>
    <w:tmpl w:val="2BC81B48"/>
    <w:lvl w:ilvl="0" w:tplc="04090001">
      <w:start w:val="1"/>
      <w:numFmt w:val="bullet"/>
      <w:lvlText w:val=""/>
      <w:lvlJc w:val="left"/>
      <w:pPr>
        <w:ind w:left="984" w:hanging="360"/>
      </w:pPr>
      <w:rPr>
        <w:rFonts w:ascii="Symbol" w:hAnsi="Symbol" w:hint="default"/>
      </w:rPr>
    </w:lvl>
    <w:lvl w:ilvl="1" w:tplc="04090003" w:tentative="1">
      <w:start w:val="1"/>
      <w:numFmt w:val="bullet"/>
      <w:lvlText w:val="o"/>
      <w:lvlJc w:val="left"/>
      <w:pPr>
        <w:ind w:left="1704" w:hanging="360"/>
      </w:pPr>
      <w:rPr>
        <w:rFonts w:ascii="Courier New" w:hAnsi="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hint="default"/>
      </w:rPr>
    </w:lvl>
    <w:lvl w:ilvl="8" w:tplc="04090005" w:tentative="1">
      <w:start w:val="1"/>
      <w:numFmt w:val="bullet"/>
      <w:lvlText w:val=""/>
      <w:lvlJc w:val="left"/>
      <w:pPr>
        <w:ind w:left="6744"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DBF"/>
    <w:rsid w:val="00046EE5"/>
    <w:rsid w:val="00091CAA"/>
    <w:rsid w:val="0016384D"/>
    <w:rsid w:val="00194E40"/>
    <w:rsid w:val="00201263"/>
    <w:rsid w:val="00203130"/>
    <w:rsid w:val="00234E5B"/>
    <w:rsid w:val="00282011"/>
    <w:rsid w:val="002C1079"/>
    <w:rsid w:val="002C2A3D"/>
    <w:rsid w:val="002D5885"/>
    <w:rsid w:val="00310214"/>
    <w:rsid w:val="00426B20"/>
    <w:rsid w:val="0043311C"/>
    <w:rsid w:val="00434D7D"/>
    <w:rsid w:val="00442E7B"/>
    <w:rsid w:val="00526A36"/>
    <w:rsid w:val="00531580"/>
    <w:rsid w:val="005823A0"/>
    <w:rsid w:val="0058281E"/>
    <w:rsid w:val="005844C5"/>
    <w:rsid w:val="005E5D7A"/>
    <w:rsid w:val="005E7F8A"/>
    <w:rsid w:val="006B3FF6"/>
    <w:rsid w:val="006D2456"/>
    <w:rsid w:val="006F0EF8"/>
    <w:rsid w:val="007B3342"/>
    <w:rsid w:val="007C01C1"/>
    <w:rsid w:val="0080613B"/>
    <w:rsid w:val="00835AE2"/>
    <w:rsid w:val="00870716"/>
    <w:rsid w:val="008B3D3C"/>
    <w:rsid w:val="008C126E"/>
    <w:rsid w:val="008E146B"/>
    <w:rsid w:val="009649F1"/>
    <w:rsid w:val="009C2114"/>
    <w:rsid w:val="009E6188"/>
    <w:rsid w:val="00A40485"/>
    <w:rsid w:val="00B252CD"/>
    <w:rsid w:val="00BD795F"/>
    <w:rsid w:val="00C13441"/>
    <w:rsid w:val="00C96604"/>
    <w:rsid w:val="00C97DBF"/>
    <w:rsid w:val="00D16689"/>
    <w:rsid w:val="00D301CD"/>
    <w:rsid w:val="00D35C0B"/>
    <w:rsid w:val="00D729C7"/>
    <w:rsid w:val="00D9097B"/>
    <w:rsid w:val="00DA1203"/>
    <w:rsid w:val="00ED1F65"/>
    <w:rsid w:val="00ED4553"/>
    <w:rsid w:val="00EE7B56"/>
    <w:rsid w:val="00F13CE6"/>
    <w:rsid w:val="00F2249A"/>
    <w:rsid w:val="00FD1668"/>
    <w:rsid w:val="00FD36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5A0237-10E0-4641-812C-D6F5FDB50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36"/>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441"/>
    <w:rPr>
      <w:rFonts w:cs="Times New Roman"/>
      <w:color w:val="0563C1" w:themeColor="hyperlink"/>
      <w:u w:val="single"/>
    </w:rPr>
  </w:style>
  <w:style w:type="paragraph" w:customStyle="1" w:styleId="LetterheadLevel1">
    <w:name w:val="Letterhead Level 1"/>
    <w:basedOn w:val="Normal"/>
    <w:autoRedefine/>
    <w:qFormat/>
    <w:rsid w:val="009E6188"/>
    <w:pPr>
      <w:spacing w:before="120" w:after="120"/>
    </w:pPr>
    <w:rPr>
      <w:rFonts w:ascii="Arial" w:hAnsi="Arial" w:cs="Arial"/>
      <w:color w:val="861714"/>
      <w:sz w:val="36"/>
      <w:szCs w:val="36"/>
      <w:lang w:val="es-ES"/>
    </w:rPr>
  </w:style>
  <w:style w:type="paragraph" w:customStyle="1" w:styleId="LetterheadLevel2">
    <w:name w:val="Letterhead Level 2"/>
    <w:basedOn w:val="LetterheadLevel1"/>
    <w:autoRedefine/>
    <w:qFormat/>
    <w:rsid w:val="007C01C1"/>
    <w:rPr>
      <w:sz w:val="32"/>
      <w:szCs w:val="32"/>
    </w:rPr>
  </w:style>
  <w:style w:type="paragraph" w:styleId="ListParagraph">
    <w:name w:val="List Paragraph"/>
    <w:basedOn w:val="Normal"/>
    <w:uiPriority w:val="34"/>
    <w:qFormat/>
    <w:rsid w:val="00531580"/>
    <w:pPr>
      <w:ind w:left="720"/>
      <w:contextualSpacing/>
    </w:pPr>
  </w:style>
  <w:style w:type="character" w:customStyle="1" w:styleId="tw4winMark">
    <w:name w:val="tw4winMark"/>
    <w:uiPriority w:val="99"/>
    <w:rsid w:val="008C126E"/>
    <w:rPr>
      <w:rFonts w:ascii="Courier New" w:hAnsi="Courier New"/>
      <w:vanish/>
      <w:color w:val="800080"/>
      <w:vertAlign w:val="subscript"/>
    </w:rPr>
  </w:style>
  <w:style w:type="paragraph" w:styleId="BalloonText">
    <w:name w:val="Balloon Text"/>
    <w:basedOn w:val="Normal"/>
    <w:link w:val="BalloonTextChar"/>
    <w:uiPriority w:val="99"/>
    <w:semiHidden/>
    <w:unhideWhenUsed/>
    <w:rsid w:val="00A4048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40485"/>
    <w:rPr>
      <w:rFonts w:ascii="Tahoma" w:hAnsi="Tahoma" w:cs="Tahoma"/>
      <w:sz w:val="16"/>
      <w:szCs w:val="16"/>
    </w:rPr>
  </w:style>
  <w:style w:type="paragraph" w:styleId="Title">
    <w:name w:val="Title"/>
    <w:basedOn w:val="Normal"/>
    <w:next w:val="Normal"/>
    <w:link w:val="TitleChar"/>
    <w:uiPriority w:val="10"/>
    <w:qFormat/>
    <w:rsid w:val="00835AE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5AE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359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bellahe@tsbvi.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mpsonr@tsbvi.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363</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45131-TSBVI_Family Welcome Letter 2017_SP-Final</vt:lpstr>
    </vt:vector>
  </TitlesOfParts>
  <Company>Texas School for the Blind and Visually Impaired</Company>
  <LinksUpToDate>false</LinksUpToDate>
  <CharactersWithSpaces>2429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45131-TSBVI_Family Welcome Letter 2017_SP-Final</dc:title>
  <dc:creator>Universe Technical Translation</dc:creator>
  <dc:description>UTT/45131-TSBVI_Family Welcome Letter 2017_SP-Final/tr. MS, ed. JS/03-01-2017</dc:description>
  <cp:lastModifiedBy>Peggy Malloy</cp:lastModifiedBy>
  <cp:revision>4</cp:revision>
  <dcterms:created xsi:type="dcterms:W3CDTF">2017-04-07T17:54:00Z</dcterms:created>
  <dcterms:modified xsi:type="dcterms:W3CDTF">2017-04-07T18:13:00Z</dcterms:modified>
</cp:coreProperties>
</file>