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4461" w14:textId="77777777" w:rsidR="00ED640B" w:rsidRDefault="00ED640B"/>
    <w:p w14:paraId="5BCBF55C" w14:textId="3BCF798F" w:rsidR="00ED640B" w:rsidRDefault="00241C32" w:rsidP="00FA4AF7">
      <w:pPr>
        <w:pStyle w:val="Heading1"/>
        <w:spacing w:after="0"/>
        <w:rPr>
          <w:rFonts w:ascii="Verdana" w:eastAsia="Verdana" w:hAnsi="Verdana" w:cs="Verdana"/>
          <w:sz w:val="36"/>
          <w:szCs w:val="36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36"/>
          <w:szCs w:val="36"/>
        </w:rPr>
        <w:t xml:space="preserve">Literacy for Children who are Deaf-Blind: </w:t>
      </w:r>
      <w:r w:rsidRPr="00241C32">
        <w:rPr>
          <w:rFonts w:ascii="Verdana" w:eastAsia="Verdana" w:hAnsi="Verdana" w:cs="Verdana"/>
          <w:sz w:val="36"/>
          <w:szCs w:val="36"/>
        </w:rPr>
        <w:t>Selected Research and Professional Literature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417D53" wp14:editId="3271D948">
                <wp:simplePos x="0" y="0"/>
                <wp:positionH relativeFrom="column">
                  <wp:posOffset>-36575</wp:posOffset>
                </wp:positionH>
                <wp:positionV relativeFrom="paragraph">
                  <wp:posOffset>822960</wp:posOffset>
                </wp:positionV>
                <wp:extent cx="6233823" cy="19006"/>
                <wp:effectExtent l="0" t="0" r="0" b="0"/>
                <wp:wrapNone/>
                <wp:docPr id="1" name="Straight Arrow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9089" y="3780000"/>
                          <a:ext cx="6233823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ACF5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</wp:posOffset>
                </wp:positionH>
                <wp:positionV relativeFrom="paragraph">
                  <wp:posOffset>822960</wp:posOffset>
                </wp:positionV>
                <wp:extent cx="6233823" cy="19006"/>
                <wp:effectExtent b="0" l="0" r="0" t="0"/>
                <wp:wrapNone/>
                <wp:docPr descr="Decorative" id="1" name="image1.png"/>
                <a:graphic>
                  <a:graphicData uri="http://schemas.openxmlformats.org/drawingml/2006/picture">
                    <pic:pic>
                      <pic:nvPicPr>
                        <pic:cNvPr descr="Decorative"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823" cy="190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90A622" w14:textId="77777777" w:rsidR="00ED640B" w:rsidRDefault="00ED640B"/>
    <w:p w14:paraId="2A9FFE56" w14:textId="1E7DCE56" w:rsidR="001E439D" w:rsidRPr="001E439D" w:rsidRDefault="001E439D" w:rsidP="00711C2A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1E439D">
        <w:rPr>
          <w:rFonts w:ascii="Verdana" w:eastAsia="Verdana" w:hAnsi="Verdana" w:cs="Verdana"/>
          <w:sz w:val="22"/>
          <w:szCs w:val="22"/>
        </w:rPr>
        <w:t xml:space="preserve">Bruce, S., Nelson, C., Perez, A., Stutzman, B., Barnhill,B. (2016). The state of research on communication and literacy in deafblindness. </w:t>
      </w:r>
      <w:r w:rsidRPr="00711C2A">
        <w:rPr>
          <w:rFonts w:ascii="Verdana" w:eastAsia="Verdana" w:hAnsi="Verdana" w:cs="Verdana"/>
          <w:i/>
          <w:iCs/>
          <w:sz w:val="22"/>
          <w:szCs w:val="22"/>
        </w:rPr>
        <w:t>American Annals of the Deaf, 161</w:t>
      </w:r>
      <w:r w:rsidRPr="001E439D">
        <w:rPr>
          <w:rFonts w:ascii="Verdana" w:eastAsia="Verdana" w:hAnsi="Verdana" w:cs="Verdana"/>
          <w:sz w:val="22"/>
          <w:szCs w:val="22"/>
        </w:rPr>
        <w:t xml:space="preserve">(4), 424-443. </w:t>
      </w:r>
      <w:r w:rsidR="001C7607">
        <w:rPr>
          <w:rFonts w:ascii="Verdana" w:eastAsia="Verdana" w:hAnsi="Verdana" w:cs="Verdana"/>
          <w:sz w:val="22"/>
          <w:szCs w:val="22"/>
        </w:rPr>
        <w:br/>
      </w:r>
      <w:r w:rsidR="001C7607">
        <w:rPr>
          <w:rFonts w:ascii="Verdana" w:eastAsia="Verdana" w:hAnsi="Verdana" w:cs="Verdana"/>
          <w:sz w:val="22"/>
          <w:szCs w:val="22"/>
        </w:rPr>
        <w:br/>
      </w:r>
      <w:r w:rsidRPr="001E439D">
        <w:rPr>
          <w:rFonts w:ascii="Verdana" w:eastAsia="Verdana" w:hAnsi="Verdana" w:cs="Verdana"/>
          <w:sz w:val="22"/>
          <w:szCs w:val="22"/>
        </w:rPr>
        <w:t xml:space="preserve">Bruce, S., Janssen, M., Bashinski, S. (2016). Individualizing and personalizing communication and literacy instruction for children who are deafblind. </w:t>
      </w:r>
      <w:r w:rsidRPr="00A1215A">
        <w:rPr>
          <w:rFonts w:ascii="Verdana" w:eastAsia="Verdana" w:hAnsi="Verdana" w:cs="Verdana"/>
          <w:i/>
          <w:iCs/>
          <w:sz w:val="22"/>
          <w:szCs w:val="22"/>
        </w:rPr>
        <w:t>Journal of</w:t>
      </w:r>
      <w:r w:rsidRPr="00711C2A">
        <w:rPr>
          <w:rFonts w:ascii="Verdana" w:eastAsia="Verdana" w:hAnsi="Verdana" w:cs="Verdana"/>
          <w:sz w:val="22"/>
          <w:szCs w:val="22"/>
        </w:rPr>
        <w:t xml:space="preserve"> </w:t>
      </w:r>
      <w:r w:rsidRPr="00711C2A">
        <w:rPr>
          <w:rFonts w:ascii="Verdana" w:eastAsia="Verdana" w:hAnsi="Verdana" w:cs="Verdana"/>
          <w:i/>
          <w:iCs/>
          <w:sz w:val="22"/>
          <w:szCs w:val="22"/>
        </w:rPr>
        <w:t>Deafblind Studies on Communication</w:t>
      </w:r>
      <w:r w:rsidR="00A1215A">
        <w:rPr>
          <w:rFonts w:ascii="Verdana" w:eastAsia="Verdana" w:hAnsi="Verdana" w:cs="Verdana"/>
          <w:i/>
          <w:iCs/>
          <w:sz w:val="22"/>
          <w:szCs w:val="22"/>
        </w:rPr>
        <w:t>, 2</w:t>
      </w:r>
      <w:r w:rsidRPr="001E439D">
        <w:rPr>
          <w:rFonts w:ascii="Verdana" w:eastAsia="Verdana" w:hAnsi="Verdana" w:cs="Verdana"/>
          <w:sz w:val="22"/>
          <w:szCs w:val="22"/>
        </w:rPr>
        <w:t>(1), 73-87.</w:t>
      </w:r>
    </w:p>
    <w:p w14:paraId="1CA18EB5" w14:textId="69D53979" w:rsidR="001C7607" w:rsidRDefault="001E439D" w:rsidP="00711C2A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1E439D">
        <w:rPr>
          <w:rFonts w:ascii="Verdana" w:eastAsia="Verdana" w:hAnsi="Verdana" w:cs="Verdana"/>
          <w:sz w:val="22"/>
          <w:szCs w:val="22"/>
        </w:rPr>
        <w:t xml:space="preserve">Brum, C. (2017). </w:t>
      </w:r>
      <w:hyperlink r:id="rId8" w:history="1">
        <w:r w:rsidRPr="00711C2A">
          <w:rPr>
            <w:rStyle w:val="Hyperlink"/>
            <w:rFonts w:ascii="Verdana" w:eastAsia="Verdana" w:hAnsi="Verdana" w:cs="Verdana"/>
            <w:sz w:val="22"/>
            <w:szCs w:val="22"/>
          </w:rPr>
          <w:t>AAC supporting literacy instruction</w:t>
        </w:r>
        <w:r w:rsidRPr="00711C2A">
          <w:rPr>
            <w:rStyle w:val="Hyperlink"/>
            <w:rFonts w:ascii="Verdana" w:eastAsia="Verdana" w:hAnsi="Verdana" w:cs="Verdana"/>
            <w:sz w:val="22"/>
            <w:szCs w:val="22"/>
          </w:rPr>
          <w:t xml:space="preserve"> </w:t>
        </w:r>
        <w:r w:rsidRPr="00711C2A">
          <w:rPr>
            <w:rStyle w:val="Hyperlink"/>
            <w:rFonts w:ascii="Verdana" w:eastAsia="Verdana" w:hAnsi="Verdana" w:cs="Verdana"/>
            <w:sz w:val="22"/>
            <w:szCs w:val="22"/>
          </w:rPr>
          <w:t>for individuals with deafblindness</w:t>
        </w:r>
      </w:hyperlink>
      <w:r w:rsidRPr="001E439D">
        <w:rPr>
          <w:rFonts w:ascii="Verdana" w:eastAsia="Verdana" w:hAnsi="Verdana" w:cs="Verdana"/>
          <w:sz w:val="22"/>
          <w:szCs w:val="22"/>
        </w:rPr>
        <w:t xml:space="preserve">. </w:t>
      </w:r>
      <w:r w:rsidRPr="00711C2A">
        <w:rPr>
          <w:rFonts w:ascii="Verdana" w:eastAsia="Verdana" w:hAnsi="Verdana" w:cs="Verdana"/>
          <w:i/>
          <w:iCs/>
          <w:sz w:val="22"/>
          <w:szCs w:val="22"/>
        </w:rPr>
        <w:t>Perspectives of the ASHA Special Interest Groups, 2</w:t>
      </w:r>
      <w:r w:rsidRPr="001E439D">
        <w:rPr>
          <w:rFonts w:ascii="Verdana" w:eastAsia="Verdana" w:hAnsi="Verdana" w:cs="Verdana"/>
          <w:sz w:val="22"/>
          <w:szCs w:val="22"/>
        </w:rPr>
        <w:t xml:space="preserve"> (SIG 12), 98-106. </w:t>
      </w:r>
    </w:p>
    <w:p w14:paraId="32A7747F" w14:textId="344A2EA9" w:rsidR="001E439D" w:rsidRPr="001E439D" w:rsidRDefault="001E439D" w:rsidP="00711C2A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1E439D">
        <w:rPr>
          <w:rFonts w:ascii="Verdana" w:eastAsia="Verdana" w:hAnsi="Verdana" w:cs="Verdana"/>
          <w:sz w:val="22"/>
          <w:szCs w:val="22"/>
        </w:rPr>
        <w:t xml:space="preserve">Luckner, J., Bruce, S., Ferrell, K. (2015). A summary of the communication and literacy evidence-based practices for students who are deaf or hard of hearing, visually impaired, and deafblind. </w:t>
      </w:r>
      <w:r w:rsidRPr="00711C2A">
        <w:rPr>
          <w:rFonts w:ascii="Verdana" w:eastAsia="Verdana" w:hAnsi="Verdana" w:cs="Verdana"/>
          <w:i/>
          <w:iCs/>
          <w:sz w:val="22"/>
          <w:szCs w:val="22"/>
        </w:rPr>
        <w:t>Communication Disorders Quarterly, 37</w:t>
      </w:r>
      <w:r w:rsidRPr="001E439D">
        <w:rPr>
          <w:rFonts w:ascii="Verdana" w:eastAsia="Verdana" w:hAnsi="Verdana" w:cs="Verdana"/>
          <w:sz w:val="22"/>
          <w:szCs w:val="22"/>
        </w:rPr>
        <w:t>(4), 225-241.</w:t>
      </w:r>
    </w:p>
    <w:p w14:paraId="6409128A" w14:textId="77777777" w:rsidR="001C7607" w:rsidRDefault="001E439D" w:rsidP="00711C2A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1E439D">
        <w:rPr>
          <w:rFonts w:ascii="Verdana" w:eastAsia="Verdana" w:hAnsi="Verdana" w:cs="Verdana"/>
          <w:sz w:val="22"/>
          <w:szCs w:val="22"/>
        </w:rPr>
        <w:t xml:space="preserve">McKenzie, A. R. (2009). Emergent literacy supports for students who are deaf-blind or have visual impairments: A multiple case study. </w:t>
      </w:r>
      <w:r w:rsidRPr="00711C2A">
        <w:rPr>
          <w:rFonts w:ascii="Verdana" w:eastAsia="Verdana" w:hAnsi="Verdana" w:cs="Verdana"/>
          <w:i/>
          <w:iCs/>
          <w:sz w:val="22"/>
          <w:szCs w:val="22"/>
        </w:rPr>
        <w:t>Journal of Visual Impairment &amp; Blindness, 103</w:t>
      </w:r>
      <w:r w:rsidRPr="001E439D">
        <w:rPr>
          <w:rFonts w:ascii="Verdana" w:eastAsia="Verdana" w:hAnsi="Verdana" w:cs="Verdana"/>
          <w:sz w:val="22"/>
          <w:szCs w:val="22"/>
        </w:rPr>
        <w:t>, 291–302.</w:t>
      </w:r>
    </w:p>
    <w:p w14:paraId="742654EB" w14:textId="1C8866FC" w:rsidR="00ED640B" w:rsidRPr="00711C2A" w:rsidRDefault="001E439D" w:rsidP="00711C2A">
      <w:pPr>
        <w:spacing w:before="240" w:after="2760" w:line="300" w:lineRule="auto"/>
        <w:rPr>
          <w:rFonts w:ascii="Verdana" w:eastAsia="Verdana" w:hAnsi="Verdana" w:cs="Verdana"/>
          <w:sz w:val="22"/>
          <w:szCs w:val="22"/>
        </w:rPr>
      </w:pPr>
      <w:r w:rsidRPr="001E439D">
        <w:rPr>
          <w:rFonts w:ascii="Verdana" w:eastAsia="Verdana" w:hAnsi="Verdana" w:cs="Verdana"/>
          <w:sz w:val="22"/>
          <w:szCs w:val="22"/>
        </w:rPr>
        <w:t xml:space="preserve">Parker, A. T., Pogrund, R. L. (2009). A review of research on the literacy of students with visual impairments and additional disabilities. </w:t>
      </w:r>
      <w:r w:rsidRPr="00711C2A">
        <w:rPr>
          <w:rFonts w:ascii="Verdana" w:eastAsia="Verdana" w:hAnsi="Verdana" w:cs="Verdana"/>
          <w:i/>
          <w:iCs/>
          <w:sz w:val="22"/>
          <w:szCs w:val="22"/>
        </w:rPr>
        <w:t>Journal of Visual Impairment &amp; Blindness, 103</w:t>
      </w:r>
      <w:r w:rsidRPr="001E439D">
        <w:rPr>
          <w:rFonts w:ascii="Verdana" w:eastAsia="Verdana" w:hAnsi="Verdana" w:cs="Verdana"/>
          <w:sz w:val="22"/>
          <w:szCs w:val="22"/>
        </w:rPr>
        <w:t>(10), 635-648.</w:t>
      </w:r>
      <w:r>
        <w:rPr>
          <w:rFonts w:ascii="Verdana" w:eastAsia="Verdana" w:hAnsi="Verdana" w:cs="Verdana"/>
          <w:sz w:val="22"/>
          <w:szCs w:val="22"/>
        </w:rPr>
        <w:t xml:space="preserve">  </w:t>
      </w:r>
    </w:p>
    <w:p w14:paraId="7D949E46" w14:textId="77777777" w:rsidR="00ED640B" w:rsidRDefault="00000000">
      <w:pPr>
        <w:spacing w:before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National Center on Deaf-Blindness, December 2022</w:t>
      </w:r>
    </w:p>
    <w:p w14:paraId="4988DAA4" w14:textId="77777777" w:rsidR="00ED640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nationaldb.org</w:t>
      </w:r>
    </w:p>
    <w:p w14:paraId="22389F1F" w14:textId="77777777" w:rsidR="00ED640B" w:rsidRDefault="00000000">
      <w:pPr>
        <w:spacing w:before="360"/>
        <w:rPr>
          <w:sz w:val="18"/>
          <w:szCs w:val="18"/>
        </w:rPr>
      </w:pPr>
      <w:r>
        <w:rPr>
          <w:sz w:val="18"/>
          <w:szCs w:val="18"/>
        </w:rPr>
        <w:t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Weigert.</w:t>
      </w:r>
    </w:p>
    <w:p w14:paraId="69120472" w14:textId="2FB7DA3D" w:rsidR="00ED640B" w:rsidRDefault="00000000" w:rsidP="001C7607">
      <w:pPr>
        <w:jc w:val="center"/>
      </w:pPr>
      <w:r>
        <w:rPr>
          <w:noProof/>
        </w:rPr>
        <w:drawing>
          <wp:inline distT="0" distB="0" distL="0" distR="0" wp14:anchorId="54A96A02" wp14:editId="0254BA2E">
            <wp:extent cx="3760008" cy="745302"/>
            <wp:effectExtent l="0" t="0" r="0" b="0"/>
            <wp:docPr id="2" name="image3.png" descr="NCDB: National Center on Deaf-Blindness&#10;IDEAs that Work: Office of Special Education Programs, U.S.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CDB: National Center on Deaf-Blindness&#10;IDEAs that Work: Office of Special Education Programs, U.S. Department of Educatio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008" cy="74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D640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75E2" w14:textId="77777777" w:rsidR="00D84591" w:rsidRDefault="00D84591">
      <w:pPr>
        <w:spacing w:before="0" w:after="0" w:line="240" w:lineRule="auto"/>
      </w:pPr>
      <w:r>
        <w:separator/>
      </w:r>
    </w:p>
  </w:endnote>
  <w:endnote w:type="continuationSeparator" w:id="0">
    <w:p w14:paraId="50668450" w14:textId="77777777" w:rsidR="00D84591" w:rsidRDefault="00D845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BM Plex Sans Condensed">
    <w:panose1 w:val="020B0506050203000203"/>
    <w:charset w:val="00"/>
    <w:family w:val="swiss"/>
    <w:pitch w:val="variable"/>
    <w:sig w:usb0="A000006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352" w14:textId="77777777" w:rsidR="00ED640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A4A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131" w14:textId="77777777" w:rsidR="00ED640B" w:rsidRDefault="00ED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EAE6" w14:textId="77777777" w:rsidR="00D84591" w:rsidRDefault="00D84591">
      <w:pPr>
        <w:spacing w:before="0" w:after="0" w:line="240" w:lineRule="auto"/>
      </w:pPr>
      <w:r>
        <w:separator/>
      </w:r>
    </w:p>
  </w:footnote>
  <w:footnote w:type="continuationSeparator" w:id="0">
    <w:p w14:paraId="0139B7C3" w14:textId="77777777" w:rsidR="00D84591" w:rsidRDefault="00D845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8D1" w14:textId="77777777" w:rsidR="00ED6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IBM Plex Sans Condensed" w:eastAsia="IBM Plex Sans Condensed" w:hAnsi="IBM Plex Sans Condensed" w:cs="IBM Plex Sans Condensed"/>
        <w:color w:val="000000"/>
      </w:rPr>
    </w:pPr>
    <w:r>
      <w:rPr>
        <w:rFonts w:ascii="IBM Plex Sans Condensed" w:eastAsia="IBM Plex Sans Condensed" w:hAnsi="IBM Plex Sans Condensed" w:cs="IBM Plex Sans Condensed"/>
        <w:noProof/>
        <w:color w:val="000000"/>
      </w:rPr>
      <w:drawing>
        <wp:inline distT="0" distB="0" distL="0" distR="0" wp14:anchorId="6BEC8225" wp14:editId="6B49C87D">
          <wp:extent cx="2382241" cy="476448"/>
          <wp:effectExtent l="0" t="0" r="0" b="0"/>
          <wp:docPr id="3" name="image2.png" descr="NCDB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CDB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241" cy="4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B"/>
    <w:rsid w:val="001C7607"/>
    <w:rsid w:val="001E439D"/>
    <w:rsid w:val="00241C32"/>
    <w:rsid w:val="00613F50"/>
    <w:rsid w:val="00711C2A"/>
    <w:rsid w:val="009434BB"/>
    <w:rsid w:val="00A1215A"/>
    <w:rsid w:val="00D84591"/>
    <w:rsid w:val="00ED640B"/>
    <w:rsid w:val="00F110DE"/>
    <w:rsid w:val="00F40451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438"/>
  <w15:docId w15:val="{CE6204C7-0B30-4099-8BB0-78D5991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highlight w:val="white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Montserrat" w:eastAsia="Montserrat" w:hAnsi="Montserrat" w:cs="Montserrat"/>
      <w:b/>
      <w:color w:val="408087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rFonts w:ascii="Montserrat" w:eastAsia="Montserrat" w:hAnsi="Montserrat" w:cs="Montserrat"/>
      <w:b/>
      <w:smallCaps/>
      <w:color w:val="ED5A5A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rFonts w:ascii="Montserrat" w:eastAsia="Montserrat" w:hAnsi="Montserrat" w:cs="Montserrat"/>
      <w:b/>
      <w:sz w:val="34"/>
      <w:szCs w:val="3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color w:val="456081"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b/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7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6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asha.org/doi/10.1044/persp2.SIG12.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38C3-088F-4B9C-A673-E9807084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Beck</cp:lastModifiedBy>
  <cp:revision>6</cp:revision>
  <dcterms:created xsi:type="dcterms:W3CDTF">2022-12-28T19:31:00Z</dcterms:created>
  <dcterms:modified xsi:type="dcterms:W3CDTF">2022-12-28T23:27:00Z</dcterms:modified>
</cp:coreProperties>
</file>