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461" w14:textId="77777777" w:rsidR="00ED640B" w:rsidRPr="00CD6F1B" w:rsidRDefault="00ED640B">
      <w:pPr>
        <w:rPr>
          <w:highlight w:val="none"/>
        </w:rPr>
      </w:pPr>
    </w:p>
    <w:p w14:paraId="5BCBF55C" w14:textId="3C01F093" w:rsidR="00ED640B" w:rsidRPr="00CD6F1B" w:rsidRDefault="00F3210D" w:rsidP="00BF7331">
      <w:pPr>
        <w:pStyle w:val="Heading1"/>
        <w:spacing w:after="240"/>
        <w:rPr>
          <w:rFonts w:ascii="Verdana" w:eastAsia="Verdana" w:hAnsi="Verdana" w:cs="Verdana"/>
          <w:sz w:val="36"/>
          <w:szCs w:val="36"/>
          <w:highlight w:val="none"/>
        </w:rPr>
      </w:pPr>
      <w:bookmarkStart w:id="0" w:name="_gjdgxs" w:colFirst="0" w:colLast="0"/>
      <w:bookmarkEnd w:id="0"/>
      <w:r w:rsidRPr="00CD6F1B">
        <w:rPr>
          <w:rFonts w:ascii="Verdana" w:eastAsia="Verdana" w:hAnsi="Verdana" w:cs="Verdana"/>
          <w:sz w:val="36"/>
          <w:szCs w:val="36"/>
          <w:highlight w:val="none"/>
        </w:rPr>
        <w:t xml:space="preserve">Transition for Youth who are Deaf-Blind: Selected </w:t>
      </w:r>
      <w:r w:rsidR="004D53F3" w:rsidRPr="00CD6F1B">
        <w:rPr>
          <w:rFonts w:ascii="Verdana" w:eastAsia="Verdana" w:hAnsi="Verdana" w:cs="Verdana"/>
          <w:sz w:val="36"/>
          <w:szCs w:val="36"/>
          <w:highlight w:val="none"/>
        </w:rPr>
        <w:t xml:space="preserve">Research and </w:t>
      </w:r>
      <w:r w:rsidRPr="00CD6F1B">
        <w:rPr>
          <w:rFonts w:ascii="Verdana" w:eastAsia="Verdana" w:hAnsi="Verdana" w:cs="Verdana"/>
          <w:sz w:val="36"/>
          <w:szCs w:val="36"/>
          <w:highlight w:val="none"/>
        </w:rPr>
        <w:t xml:space="preserve">Professional Literature </w:t>
      </w:r>
    </w:p>
    <w:p w14:paraId="72D790A0" w14:textId="317702C8" w:rsidR="00BF7331" w:rsidRPr="00CD6F1B" w:rsidRDefault="00D558B9" w:rsidP="00D558B9">
      <w:pPr>
        <w:spacing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366E93" wp14:editId="44277A46">
                <wp:simplePos x="0" y="0"/>
                <wp:positionH relativeFrom="column">
                  <wp:posOffset>-76200</wp:posOffset>
                </wp:positionH>
                <wp:positionV relativeFrom="paragraph">
                  <wp:posOffset>24765</wp:posOffset>
                </wp:positionV>
                <wp:extent cx="6233795" cy="18415"/>
                <wp:effectExtent l="19050" t="19050" r="33655" b="19685"/>
                <wp:wrapNone/>
                <wp:docPr id="1" name="Straight Arrow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795" cy="1841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ACF5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17C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Decorative" style="position:absolute;margin-left:-6pt;margin-top:1.95pt;width:490.8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" strokecolor="#facf5a" strokeweight="3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D107908" w14:textId="4C54F8BF" w:rsidR="00F3210D" w:rsidRPr="00CD6F1B" w:rsidRDefault="00F3210D" w:rsidP="00D558B9">
      <w:pPr>
        <w:spacing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Arndt, K. (2010). College students who are deafblind: Perceptions of adjustment and academic supports.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AER Journal: Research and Practice in Visual Impairment and Blindness 3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(1), 12-19.</w:t>
      </w:r>
    </w:p>
    <w:p w14:paraId="42D84349" w14:textId="71BA8239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>Arndt, K., Parker, A. (2016). Perceptions of social networks by adults who are deafblind.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American Annals of the Deaf, 161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(3) 369-383.</w:t>
      </w:r>
      <w:bookmarkStart w:id="1" w:name="30j0zll" w:colFirst="0" w:colLast="0"/>
      <w:bookmarkEnd w:id="1"/>
    </w:p>
    <w:p w14:paraId="53C2070B" w14:textId="34C3BDFD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Cmar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L.,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Markoski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K. (2019). Promoting self-determination for students with visual impairments: A review of the literature.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Visual Impairment &amp; Blindness, 113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(2), 100-113. </w:t>
      </w:r>
      <w:hyperlink r:id="rId7" w:history="1">
        <w:r w:rsidR="00E64741" w:rsidRPr="00CD6F1B">
          <w:rPr>
            <w:rStyle w:val="Hyperlink"/>
            <w:rFonts w:ascii="Verdana" w:eastAsia="Verdana" w:hAnsi="Verdana" w:cs="Verdana"/>
            <w:sz w:val="22"/>
            <w:szCs w:val="22"/>
            <w:highlight w:val="none"/>
          </w:rPr>
          <w:t>https://doi.org/10.1177/0145482X1983979</w:t>
        </w:r>
      </w:hyperlink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</w:p>
    <w:p w14:paraId="4E2CA0D9" w14:textId="7D9A1E95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Cmar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L.,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McDonnall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M. C. (2019). Characteristics, services, and outcomes of vocational rehabilitation consumers who are deaf-blind.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the American Deafness &amp; Rehabilitation Association (JADARA), 52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(2), 12–23. </w:t>
      </w:r>
    </w:p>
    <w:p w14:paraId="733C08CF" w14:textId="3D494421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Cmar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L.,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McDonnall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M. C. (2022). Impact of a summer work experience program on employment outcomes for youth who are blind or have low vision.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Vocational Rehabilitation, 57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(2), 165–175. </w:t>
      </w:r>
      <w:hyperlink r:id="rId8" w:history="1">
        <w:r w:rsidR="00E64741" w:rsidRPr="00CD6F1B">
          <w:rPr>
            <w:rStyle w:val="Hyperlink"/>
            <w:rFonts w:ascii="Verdana" w:eastAsia="Verdana" w:hAnsi="Verdana" w:cs="Verdana"/>
            <w:sz w:val="22"/>
            <w:szCs w:val="22"/>
            <w:highlight w:val="none"/>
          </w:rPr>
          <w:t>https://doi.org/10.3233/JVR-221207</w:t>
        </w:r>
      </w:hyperlink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</w:p>
    <w:p w14:paraId="126E5DEF" w14:textId="55950298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Cmar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L.,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McDonnall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M. C.,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Markoski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K. M. (2018). In-school predictors of postschool employment for youth who are deaf-blind.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Career Development and Transition for Exceptional Individuals, 41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(4), 223-233</w:t>
      </w:r>
      <w:bookmarkStart w:id="2" w:name="1fob9te" w:colFirst="0" w:colLast="0"/>
      <w:bookmarkEnd w:id="2"/>
      <w:r w:rsidRPr="00CD6F1B">
        <w:rPr>
          <w:rFonts w:ascii="Verdana" w:eastAsia="Verdana" w:hAnsi="Verdana" w:cs="Verdana"/>
          <w:sz w:val="22"/>
          <w:szCs w:val="22"/>
          <w:highlight w:val="none"/>
        </w:rPr>
        <w:t>.</w:t>
      </w:r>
    </w:p>
    <w:p w14:paraId="7763A583" w14:textId="3A5D2884" w:rsidR="00E64741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Lee, H., Morningstar, M.E. (2019). Exploring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p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redictors of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c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ommunity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p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articipation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a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mong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y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oung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a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dults with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s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evere 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d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isabilities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.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Research and Practice for Persons with Severe Disabilities</w:t>
      </w:r>
      <w:r w:rsidR="00E64741"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, 44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(3), 186–199. </w:t>
      </w:r>
    </w:p>
    <w:p w14:paraId="7E252B79" w14:textId="76A8527F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Lieberman, L. J., Kirk, T. N.,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Haegele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A. (2018). Physical education and transition planning experiences relating to recreation among adults who are deafblind: A recall analysis.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Visual Impairment &amp; Blindness, 112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(1), 73–86. </w:t>
      </w:r>
      <w:hyperlink r:id="rId9" w:history="1">
        <w:r w:rsidR="00E64741" w:rsidRPr="00CD6F1B">
          <w:rPr>
            <w:rStyle w:val="Hyperlink"/>
            <w:rFonts w:ascii="Verdana" w:eastAsia="Verdana" w:hAnsi="Verdana" w:cs="Verdana"/>
            <w:sz w:val="22"/>
            <w:szCs w:val="22"/>
            <w:highlight w:val="none"/>
          </w:rPr>
          <w:t>https://doi.org/10.1177/0145482X1811200107</w:t>
        </w:r>
      </w:hyperlink>
      <w:r w:rsidR="00BE5B0E"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</w:p>
    <w:p w14:paraId="3DD63628" w14:textId="72428CEC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lastRenderedPageBreak/>
        <w:t>McDonnall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M. C.,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Cmar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L. (2018). Experiences of young adults with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deafblindness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after high school.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Visual Impairment &amp; Blindness, 112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(4), 403–410. </w:t>
      </w:r>
    </w:p>
    <w:p w14:paraId="5DE88342" w14:textId="0692EB8D" w:rsidR="00F3210D" w:rsidRPr="00CD6F1B" w:rsidRDefault="00F3210D" w:rsidP="00E6474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McDonnall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M. C.,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Cmar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(2018). Employment outcomes and job quality of vocational rehabilitation consumers with deaf-blindness.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Rehabilitation Counseling Bulletin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,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  <w:r w:rsidR="00E64741"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63</w:t>
      </w:r>
      <w:r w:rsidR="00E64741" w:rsidRPr="00CD6F1B">
        <w:rPr>
          <w:rFonts w:ascii="Verdana" w:eastAsia="Verdana" w:hAnsi="Verdana" w:cs="Verdana"/>
          <w:sz w:val="22"/>
          <w:szCs w:val="22"/>
          <w:highlight w:val="none"/>
        </w:rPr>
        <w:t>(1),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1-12. </w:t>
      </w:r>
    </w:p>
    <w:p w14:paraId="3F66F27C" w14:textId="3BCDD5E4" w:rsidR="00BF7331" w:rsidRPr="00CD6F1B" w:rsidRDefault="00F3210D" w:rsidP="00BF733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McDonnall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M.,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Cmar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 (2017). </w:t>
      </w:r>
      <w:hyperlink r:id="rId10" w:history="1">
        <w:r w:rsidRPr="00CD6F1B">
          <w:rPr>
            <w:rStyle w:val="Hyperlink"/>
            <w:rFonts w:ascii="Verdana" w:eastAsia="Verdana" w:hAnsi="Verdana" w:cs="Verdana"/>
            <w:i/>
            <w:iCs/>
            <w:sz w:val="22"/>
            <w:szCs w:val="22"/>
            <w:highlight w:val="none"/>
          </w:rPr>
          <w:t>Characteristics and experiences of youth who are deafblind</w:t>
        </w:r>
      </w:hyperlink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.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National Research and Training Center on Blindness and Visual Impairment</w:t>
      </w:r>
      <w:r w:rsidR="00BF7331"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. </w:t>
      </w:r>
    </w:p>
    <w:p w14:paraId="73EDC5A8" w14:textId="5E5D11D9" w:rsidR="00F3210D" w:rsidRPr="00CD6F1B" w:rsidRDefault="00F3210D" w:rsidP="00BF733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Petroff, J. G. (2010). A national transition follow-up study of youth with deaf-blindness: Revisited.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AER Journal: Research and Practice in Visual Impairment and Blindness, 3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(4) 132–138. </w:t>
      </w:r>
    </w:p>
    <w:p w14:paraId="3382AB11" w14:textId="3705831C" w:rsidR="005A713D" w:rsidRPr="00CD6F1B" w:rsidRDefault="005A713D" w:rsidP="00BF733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Petroff, J. G.,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Pancsofar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N., &amp; Shaaban, E. (2019). Postschool outcomes of youths with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deafblindness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in the United States: Building further understandings for future practice.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Visual Impairment &amp; Blindness, 113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(3), 274-282.</w:t>
      </w:r>
    </w:p>
    <w:p w14:paraId="03C4A656" w14:textId="398AA633" w:rsidR="00F3210D" w:rsidRPr="00CD6F1B" w:rsidRDefault="00F3210D" w:rsidP="00BF733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Phillips, C.,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Hile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J.,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Jardes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T. (2013). A team approach for the transition to middle school and beyond for a young man who Is deafblind and gifted.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Visual Impairment &amp; Blindness. 107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(6), 528-534. </w:t>
      </w:r>
    </w:p>
    <w:p w14:paraId="2A2DDEBA" w14:textId="77777777" w:rsidR="00F3210D" w:rsidRPr="00CD6F1B" w:rsidRDefault="00F3210D" w:rsidP="00BF733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Shadrick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I.,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Etlen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C. (2019). Predictors of competitive employment of adults with deaf-blindness following vocational rehabilitation.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Journal of Applied Rehabilitation Counseling, 50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(2), 148-159.</w:t>
      </w:r>
    </w:p>
    <w:p w14:paraId="7D0C347B" w14:textId="2D182BF5" w:rsidR="00F3210D" w:rsidRPr="00CD6F1B" w:rsidRDefault="00F3210D" w:rsidP="00BF7331">
      <w:pPr>
        <w:spacing w:before="240" w:after="240" w:line="300" w:lineRule="auto"/>
        <w:rPr>
          <w:rFonts w:ascii="Verdana" w:eastAsia="Verdana" w:hAnsi="Verdana" w:cs="Verdana"/>
          <w:i/>
          <w:iCs/>
          <w:sz w:val="22"/>
          <w:szCs w:val="22"/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Varadaraj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V., Wang, Y., Reed, N. S., Deal, J. A., Lin, F. R., &amp;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Swenor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>, B. K. (2020). Trends in employment by dual sensory impairment Status.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 xml:space="preserve"> JAMA Ophthalmology, 138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(2), 213–215.</w:t>
      </w:r>
      <w:hyperlink r:id="rId11" w:history="1">
        <w:r w:rsidR="00BF7331" w:rsidRPr="00CD6F1B">
          <w:rPr>
            <w:rStyle w:val="Hyperlink"/>
            <w:rFonts w:ascii="Verdana" w:eastAsia="Verdana" w:hAnsi="Verdana" w:cs="Verdana"/>
            <w:sz w:val="22"/>
            <w:szCs w:val="22"/>
            <w:highlight w:val="none"/>
          </w:rPr>
          <w:t>https://doi.org/10.1001/jamaophthalmol.2019.4955</w:t>
        </w:r>
      </w:hyperlink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</w:p>
    <w:p w14:paraId="0D43B0A2" w14:textId="6876E9D0" w:rsidR="00BF7331" w:rsidRPr="00CD6F1B" w:rsidRDefault="00F3210D" w:rsidP="00BF7331">
      <w:pPr>
        <w:spacing w:before="240" w:after="240" w:line="300" w:lineRule="auto"/>
        <w:rPr>
          <w:rFonts w:ascii="Verdana" w:eastAsia="Verdana" w:hAnsi="Verdana" w:cs="Verdana"/>
          <w:sz w:val="22"/>
          <w:szCs w:val="22"/>
          <w:highlight w:val="none"/>
        </w:rPr>
      </w:pP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Wolsey, J. A. (2017). </w:t>
      </w:r>
      <w:hyperlink r:id="rId12" w:history="1">
        <w:r w:rsidRPr="00CD6F1B">
          <w:rPr>
            <w:rStyle w:val="Hyperlink"/>
            <w:rFonts w:ascii="Verdana" w:eastAsia="Verdana" w:hAnsi="Verdana" w:cs="Verdana"/>
            <w:sz w:val="22"/>
            <w:szCs w:val="22"/>
            <w:highlight w:val="none"/>
          </w:rPr>
          <w:t>Perspectives and experiences of deafblind college students.</w:t>
        </w:r>
      </w:hyperlink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The Qualitative Report, 22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(8), 2066-2089. Retrieved from </w:t>
      </w:r>
    </w:p>
    <w:p w14:paraId="04E584DA" w14:textId="2E27EA51" w:rsidR="00ED640B" w:rsidRPr="00CD6F1B" w:rsidRDefault="00F3210D" w:rsidP="00D558B9">
      <w:pPr>
        <w:spacing w:before="240" w:after="960" w:line="300" w:lineRule="auto"/>
        <w:rPr>
          <w:highlight w:val="none"/>
        </w:rPr>
      </w:pP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Zatta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M., </w:t>
      </w:r>
      <w:proofErr w:type="spellStart"/>
      <w:r w:rsidRPr="00CD6F1B">
        <w:rPr>
          <w:rFonts w:ascii="Verdana" w:eastAsia="Verdana" w:hAnsi="Verdana" w:cs="Verdana"/>
          <w:sz w:val="22"/>
          <w:szCs w:val="22"/>
          <w:highlight w:val="none"/>
        </w:rPr>
        <w:t>McGinnity</w:t>
      </w:r>
      <w:proofErr w:type="spellEnd"/>
      <w:r w:rsidRPr="00CD6F1B">
        <w:rPr>
          <w:rFonts w:ascii="Verdana" w:eastAsia="Verdana" w:hAnsi="Verdana" w:cs="Verdana"/>
          <w:sz w:val="22"/>
          <w:szCs w:val="22"/>
          <w:highlight w:val="none"/>
        </w:rPr>
        <w:t xml:space="preserve">, B. (2016). An overview of transition planning for students who are deafblind. </w:t>
      </w:r>
      <w:r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American Annals of the Deaf, 16</w:t>
      </w:r>
      <w:r w:rsidR="00BF7331" w:rsidRPr="00CD6F1B">
        <w:rPr>
          <w:rFonts w:ascii="Verdana" w:eastAsia="Verdana" w:hAnsi="Verdana" w:cs="Verdana"/>
          <w:i/>
          <w:iCs/>
          <w:sz w:val="22"/>
          <w:szCs w:val="22"/>
          <w:highlight w:val="none"/>
        </w:rPr>
        <w:t>1</w:t>
      </w:r>
      <w:r w:rsidRPr="00CD6F1B">
        <w:rPr>
          <w:rFonts w:ascii="Verdana" w:eastAsia="Verdana" w:hAnsi="Verdana" w:cs="Verdana"/>
          <w:sz w:val="22"/>
          <w:szCs w:val="22"/>
          <w:highlight w:val="none"/>
        </w:rPr>
        <w:t>(4), 474-485.</w:t>
      </w:r>
    </w:p>
    <w:p w14:paraId="742654EB" w14:textId="77777777" w:rsidR="00ED640B" w:rsidRPr="00CD6F1B" w:rsidRDefault="00ED640B">
      <w:pPr>
        <w:rPr>
          <w:highlight w:val="none"/>
        </w:rPr>
      </w:pPr>
    </w:p>
    <w:p w14:paraId="7D949E46" w14:textId="77777777" w:rsidR="00ED640B" w:rsidRPr="00CD6F1B" w:rsidRDefault="00000000">
      <w:pPr>
        <w:spacing w:before="1080"/>
        <w:jc w:val="center"/>
        <w:rPr>
          <w:b/>
          <w:sz w:val="22"/>
          <w:szCs w:val="22"/>
          <w:highlight w:val="none"/>
        </w:rPr>
      </w:pPr>
      <w:r w:rsidRPr="00CD6F1B">
        <w:rPr>
          <w:b/>
          <w:sz w:val="22"/>
          <w:szCs w:val="22"/>
          <w:highlight w:val="none"/>
        </w:rPr>
        <w:lastRenderedPageBreak/>
        <w:t>National Center on Deaf-Blindness, December 2022</w:t>
      </w:r>
    </w:p>
    <w:p w14:paraId="4988DAA4" w14:textId="77777777" w:rsidR="00ED640B" w:rsidRPr="00CD6F1B" w:rsidRDefault="00000000">
      <w:pPr>
        <w:jc w:val="center"/>
        <w:rPr>
          <w:b/>
          <w:sz w:val="22"/>
          <w:szCs w:val="22"/>
          <w:highlight w:val="none"/>
        </w:rPr>
      </w:pPr>
      <w:r w:rsidRPr="00CD6F1B">
        <w:rPr>
          <w:b/>
          <w:sz w:val="22"/>
          <w:szCs w:val="22"/>
          <w:highlight w:val="none"/>
        </w:rPr>
        <w:t>nationaldb.org</w:t>
      </w:r>
    </w:p>
    <w:p w14:paraId="22389F1F" w14:textId="77777777" w:rsidR="00ED640B" w:rsidRPr="00CD6F1B" w:rsidRDefault="00000000">
      <w:pPr>
        <w:spacing w:before="360"/>
        <w:rPr>
          <w:sz w:val="18"/>
          <w:szCs w:val="18"/>
          <w:highlight w:val="none"/>
        </w:rPr>
      </w:pPr>
      <w:r w:rsidRPr="00CD6F1B">
        <w:rPr>
          <w:sz w:val="18"/>
          <w:szCs w:val="18"/>
          <w:highlight w:val="none"/>
        </w:rPr>
  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  </w:r>
      <w:proofErr w:type="spellStart"/>
      <w:r w:rsidRPr="00CD6F1B">
        <w:rPr>
          <w:sz w:val="18"/>
          <w:szCs w:val="18"/>
          <w:highlight w:val="none"/>
        </w:rPr>
        <w:t>Weigert</w:t>
      </w:r>
      <w:proofErr w:type="spellEnd"/>
      <w:r w:rsidRPr="00CD6F1B">
        <w:rPr>
          <w:sz w:val="18"/>
          <w:szCs w:val="18"/>
          <w:highlight w:val="none"/>
        </w:rPr>
        <w:t>.</w:t>
      </w:r>
    </w:p>
    <w:p w14:paraId="713D1E0F" w14:textId="77777777" w:rsidR="00ED640B" w:rsidRPr="00CD6F1B" w:rsidRDefault="00000000">
      <w:pPr>
        <w:jc w:val="center"/>
        <w:rPr>
          <w:highlight w:val="none"/>
        </w:rPr>
      </w:pPr>
      <w:r w:rsidRPr="00CD6F1B">
        <w:rPr>
          <w:noProof/>
          <w:highlight w:val="none"/>
        </w:rPr>
        <w:drawing>
          <wp:inline distT="0" distB="0" distL="0" distR="0" wp14:anchorId="54A96A02" wp14:editId="0254BA2E">
            <wp:extent cx="3760008" cy="745302"/>
            <wp:effectExtent l="0" t="0" r="0" b="0"/>
            <wp:docPr id="2" name="image3.png" descr="NCDB: National Center on Deaf-Blindness&#10;IDEAs that Work: Office of Special Education Programs, U.S.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: National Center on Deaf-Blindness&#10;IDEAs that Work: Office of Special Education Programs, U.S. Department of Educatio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008" cy="74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70F52" w14:textId="77777777" w:rsidR="00ED640B" w:rsidRPr="00CD6F1B" w:rsidRDefault="00ED640B">
      <w:pPr>
        <w:rPr>
          <w:highlight w:val="none"/>
        </w:rPr>
      </w:pPr>
    </w:p>
    <w:p w14:paraId="19D3AFF5" w14:textId="77777777" w:rsidR="00ED640B" w:rsidRPr="00CD6F1B" w:rsidRDefault="00ED640B">
      <w:pPr>
        <w:rPr>
          <w:highlight w:val="none"/>
        </w:rPr>
      </w:pPr>
    </w:p>
    <w:p w14:paraId="69120472" w14:textId="77777777" w:rsidR="00ED640B" w:rsidRPr="00CD6F1B" w:rsidRDefault="00ED640B">
      <w:pPr>
        <w:rPr>
          <w:highlight w:val="none"/>
        </w:rPr>
      </w:pPr>
    </w:p>
    <w:sectPr w:rsidR="00ED640B" w:rsidRPr="00CD6F1B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7D2C" w14:textId="77777777" w:rsidR="00861981" w:rsidRDefault="00861981">
      <w:pPr>
        <w:spacing w:before="0" w:after="0" w:line="240" w:lineRule="auto"/>
      </w:pPr>
      <w:r>
        <w:separator/>
      </w:r>
    </w:p>
  </w:endnote>
  <w:endnote w:type="continuationSeparator" w:id="0">
    <w:p w14:paraId="3E40CDC7" w14:textId="77777777" w:rsidR="00861981" w:rsidRDefault="008619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BM Plex Sans Condensed">
    <w:charset w:val="00"/>
    <w:family w:val="swiss"/>
    <w:pitch w:val="variable"/>
    <w:sig w:usb0="A000006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352" w14:textId="77777777" w:rsidR="00ED640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A4A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131" w14:textId="77777777" w:rsidR="00ED640B" w:rsidRDefault="00ED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B066" w14:textId="77777777" w:rsidR="00861981" w:rsidRDefault="00861981">
      <w:pPr>
        <w:spacing w:before="0" w:after="0" w:line="240" w:lineRule="auto"/>
      </w:pPr>
      <w:r>
        <w:separator/>
      </w:r>
    </w:p>
  </w:footnote>
  <w:footnote w:type="continuationSeparator" w:id="0">
    <w:p w14:paraId="24E18467" w14:textId="77777777" w:rsidR="00861981" w:rsidRDefault="008619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8D1" w14:textId="77777777" w:rsidR="00ED6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IBM Plex Sans Condensed" w:eastAsia="IBM Plex Sans Condensed" w:hAnsi="IBM Plex Sans Condensed" w:cs="IBM Plex Sans Condensed"/>
        <w:color w:val="000000"/>
      </w:rPr>
    </w:pPr>
    <w:r>
      <w:rPr>
        <w:rFonts w:ascii="IBM Plex Sans Condensed" w:eastAsia="IBM Plex Sans Condensed" w:hAnsi="IBM Plex Sans Condensed" w:cs="IBM Plex Sans Condensed"/>
        <w:noProof/>
        <w:color w:val="000000"/>
      </w:rPr>
      <w:drawing>
        <wp:inline distT="0" distB="0" distL="0" distR="0" wp14:anchorId="6BEC8225" wp14:editId="6B49C87D">
          <wp:extent cx="2382241" cy="476448"/>
          <wp:effectExtent l="0" t="0" r="0" b="0"/>
          <wp:docPr id="3" name="image2.png" descr="NCDB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CDB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241" cy="4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B"/>
    <w:rsid w:val="000043F5"/>
    <w:rsid w:val="00054BA6"/>
    <w:rsid w:val="000566DE"/>
    <w:rsid w:val="001B10CD"/>
    <w:rsid w:val="00274627"/>
    <w:rsid w:val="002D494D"/>
    <w:rsid w:val="0033262D"/>
    <w:rsid w:val="004D53F3"/>
    <w:rsid w:val="005A713D"/>
    <w:rsid w:val="00613F50"/>
    <w:rsid w:val="006B1319"/>
    <w:rsid w:val="00861981"/>
    <w:rsid w:val="008D2A6B"/>
    <w:rsid w:val="00A06CC7"/>
    <w:rsid w:val="00A13B24"/>
    <w:rsid w:val="00BE5B0E"/>
    <w:rsid w:val="00BF7331"/>
    <w:rsid w:val="00CD6F1B"/>
    <w:rsid w:val="00D558B9"/>
    <w:rsid w:val="00E64741"/>
    <w:rsid w:val="00ED640B"/>
    <w:rsid w:val="00F3210D"/>
    <w:rsid w:val="00FA4AF7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38"/>
  <w15:docId w15:val="{CE6204C7-0B30-4099-8BB0-78D5991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highlight w:val="white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Montserrat" w:eastAsia="Montserrat" w:hAnsi="Montserrat" w:cs="Montserrat"/>
      <w:b/>
      <w:color w:val="408087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mallCaps/>
      <w:color w:val="ED5A5A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Montserrat" w:eastAsia="Montserrat" w:hAnsi="Montserrat" w:cs="Montserrat"/>
      <w:b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color w:val="456081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b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32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1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1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3/JVR-221207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145482X1983979" TargetMode="External"/><Relationship Id="rId12" Type="http://schemas.openxmlformats.org/officeDocument/2006/relationships/hyperlink" Target="https://nsuworks.nova.edu/tqr/vol22/iss8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1/jamaophthalmol.2019.495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url?client=internal-element-cse&amp;cx=007077599782669998136:et8w4tbjtqw&amp;q=https://www.blind.msstate.edu/sites/www.blind.msstate.edu/files/2020-04/characteristicsAndExperiencesOfYouthWhoAreDeafBlind.pdf&amp;sa=U&amp;ved=2ahUKEwilofDFl538AhWkKX0KHT4rAKYQFnoECAUQAQ&amp;usg=AOvVaw1EQTEdzPLU0AXtsAhvRF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145482X181120010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3B13-1842-4E6C-99CA-7D94ED42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</cp:lastModifiedBy>
  <cp:revision>8</cp:revision>
  <dcterms:created xsi:type="dcterms:W3CDTF">2022-12-28T20:21:00Z</dcterms:created>
  <dcterms:modified xsi:type="dcterms:W3CDTF">2023-01-19T05:28:00Z</dcterms:modified>
</cp:coreProperties>
</file>